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A598" w14:textId="77777777" w:rsidR="006F52BD" w:rsidRPr="00F7502A" w:rsidRDefault="006F52BD" w:rsidP="006F52BD">
      <w:pPr>
        <w:spacing w:line="276" w:lineRule="auto"/>
        <w:jc w:val="center"/>
        <w:rPr>
          <w:b/>
          <w:bCs/>
        </w:rPr>
      </w:pPr>
      <w:r w:rsidRPr="00F7502A">
        <w:rPr>
          <w:b/>
          <w:bCs/>
        </w:rPr>
        <w:t>Пояснительная записка</w:t>
      </w:r>
    </w:p>
    <w:p w14:paraId="3E1EADB5" w14:textId="77777777" w:rsidR="006F52BD" w:rsidRPr="00F7502A" w:rsidRDefault="006F52BD" w:rsidP="006F52BD">
      <w:pPr>
        <w:jc w:val="center"/>
        <w:rPr>
          <w:b/>
          <w:bCs/>
          <w:i/>
          <w:sz w:val="27"/>
          <w:szCs w:val="27"/>
        </w:rPr>
      </w:pPr>
      <w:r w:rsidRPr="00F7502A">
        <w:rPr>
          <w:b/>
          <w:bCs/>
          <w:i/>
          <w:sz w:val="27"/>
          <w:szCs w:val="27"/>
        </w:rPr>
        <w:t xml:space="preserve">по исполнению бюджета </w:t>
      </w:r>
    </w:p>
    <w:p w14:paraId="0DFB01D1" w14:textId="718168D8" w:rsidR="006F52BD" w:rsidRDefault="006F52BD" w:rsidP="006F52BD">
      <w:pPr>
        <w:jc w:val="center"/>
        <w:rPr>
          <w:b/>
          <w:bCs/>
          <w:i/>
          <w:sz w:val="27"/>
          <w:szCs w:val="27"/>
        </w:rPr>
      </w:pPr>
      <w:r w:rsidRPr="00F7502A">
        <w:rPr>
          <w:b/>
          <w:bCs/>
          <w:i/>
          <w:sz w:val="27"/>
          <w:szCs w:val="27"/>
        </w:rPr>
        <w:t xml:space="preserve">городского округа города Ак-Довурак Республики Тыва  </w:t>
      </w:r>
    </w:p>
    <w:p w14:paraId="39FACB67" w14:textId="3C39BC56" w:rsidR="006F52BD" w:rsidRPr="00F7502A" w:rsidRDefault="006F52BD" w:rsidP="006F52BD">
      <w:pPr>
        <w:jc w:val="center"/>
        <w:rPr>
          <w:b/>
          <w:bCs/>
          <w:sz w:val="27"/>
          <w:szCs w:val="27"/>
        </w:rPr>
      </w:pPr>
      <w:r w:rsidRPr="00F7502A">
        <w:rPr>
          <w:b/>
          <w:bCs/>
          <w:i/>
          <w:sz w:val="27"/>
          <w:szCs w:val="27"/>
        </w:rPr>
        <w:t xml:space="preserve">    </w:t>
      </w:r>
      <w:r w:rsidRPr="00F7502A">
        <w:rPr>
          <w:b/>
          <w:bCs/>
          <w:sz w:val="27"/>
          <w:szCs w:val="27"/>
        </w:rPr>
        <w:t xml:space="preserve">   </w:t>
      </w:r>
    </w:p>
    <w:p w14:paraId="6C9C222C" w14:textId="77777777" w:rsidR="00481224" w:rsidRDefault="00481224" w:rsidP="00EE2A47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Доходная часть бюджета за 2022 год выполнено на 99,9% при плане 1000268,8 тыс. рублей выполнение составило 999954,3 тыс. рублей.</w:t>
      </w:r>
    </w:p>
    <w:p w14:paraId="3CD7DC4F" w14:textId="77777777" w:rsidR="00481224" w:rsidRDefault="00481224" w:rsidP="00EE2A47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исполнены в сумме 941519,9 тыс. рублей при плане 942542,8 тыс. рублей или 99,9%. Неисполнение составило 1</w:t>
      </w:r>
      <w:r w:rsidR="002E02D0">
        <w:rPr>
          <w:rFonts w:ascii="Times New Roman" w:hAnsi="Times New Roman"/>
          <w:sz w:val="28"/>
          <w:szCs w:val="28"/>
        </w:rPr>
        <w:t>023 тыс. рублей, в связи с отсутствием потребности для исполнения.</w:t>
      </w:r>
    </w:p>
    <w:p w14:paraId="402B92F3" w14:textId="39DC2000" w:rsidR="00EE2A47" w:rsidRDefault="00EE2A47" w:rsidP="00EE2A47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A1E5D">
        <w:rPr>
          <w:rFonts w:ascii="Times New Roman" w:hAnsi="Times New Roman"/>
          <w:sz w:val="28"/>
          <w:szCs w:val="28"/>
        </w:rPr>
        <w:t xml:space="preserve">лановые назначения </w:t>
      </w:r>
      <w:r w:rsidRPr="00AA1E5D">
        <w:rPr>
          <w:rFonts w:ascii="Times New Roman" w:hAnsi="Times New Roman"/>
          <w:b/>
          <w:sz w:val="28"/>
          <w:szCs w:val="28"/>
        </w:rPr>
        <w:t>налоговых и неналоговых доходов</w:t>
      </w:r>
      <w:r w:rsidRPr="00AA1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CA66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E5D">
        <w:rPr>
          <w:rFonts w:ascii="Times New Roman" w:hAnsi="Times New Roman"/>
          <w:sz w:val="28"/>
          <w:szCs w:val="28"/>
        </w:rPr>
        <w:t>год городского округа г. Ак-Довурак</w:t>
      </w:r>
      <w:r w:rsidRPr="00AA1E5D">
        <w:rPr>
          <w:rFonts w:ascii="Times New Roman" w:hAnsi="Times New Roman"/>
          <w:i/>
          <w:sz w:val="28"/>
          <w:szCs w:val="28"/>
        </w:rPr>
        <w:t xml:space="preserve"> </w:t>
      </w:r>
      <w:r w:rsidRPr="00AA1E5D">
        <w:rPr>
          <w:rFonts w:ascii="Times New Roman" w:hAnsi="Times New Roman"/>
          <w:sz w:val="28"/>
          <w:szCs w:val="28"/>
        </w:rPr>
        <w:t xml:space="preserve">исполнены на </w:t>
      </w:r>
      <w:r w:rsidR="002E02D0">
        <w:rPr>
          <w:rFonts w:ascii="Times New Roman" w:hAnsi="Times New Roman"/>
          <w:sz w:val="28"/>
          <w:szCs w:val="28"/>
        </w:rPr>
        <w:t>101</w:t>
      </w:r>
      <w:r w:rsidRPr="00AA1E5D">
        <w:rPr>
          <w:rFonts w:ascii="Times New Roman" w:hAnsi="Times New Roman"/>
          <w:sz w:val="28"/>
          <w:szCs w:val="28"/>
        </w:rPr>
        <w:t xml:space="preserve">% (при плане </w:t>
      </w:r>
      <w:r>
        <w:rPr>
          <w:rFonts w:ascii="Times New Roman" w:hAnsi="Times New Roman"/>
          <w:sz w:val="28"/>
          <w:szCs w:val="28"/>
        </w:rPr>
        <w:t>57726,0</w:t>
      </w:r>
      <w:r w:rsidRPr="00AA1E5D">
        <w:rPr>
          <w:rFonts w:ascii="Times New Roman" w:hAnsi="Times New Roman"/>
          <w:sz w:val="28"/>
          <w:szCs w:val="28"/>
        </w:rPr>
        <w:t xml:space="preserve"> тыс. рублей поступило</w:t>
      </w:r>
      <w:r w:rsidR="00FA472C">
        <w:rPr>
          <w:rFonts w:ascii="Times New Roman" w:hAnsi="Times New Roman"/>
          <w:sz w:val="28"/>
          <w:szCs w:val="28"/>
        </w:rPr>
        <w:t xml:space="preserve"> 58434</w:t>
      </w:r>
      <w:r>
        <w:rPr>
          <w:rFonts w:ascii="Times New Roman" w:hAnsi="Times New Roman"/>
          <w:sz w:val="28"/>
          <w:szCs w:val="28"/>
        </w:rPr>
        <w:t>,</w:t>
      </w:r>
      <w:r w:rsidR="00FA472C">
        <w:rPr>
          <w:rFonts w:ascii="Times New Roman" w:hAnsi="Times New Roman"/>
          <w:sz w:val="28"/>
          <w:szCs w:val="28"/>
        </w:rPr>
        <w:t>4</w:t>
      </w:r>
      <w:r w:rsidRPr="00AA1E5D">
        <w:rPr>
          <w:rFonts w:ascii="Times New Roman" w:hAnsi="Times New Roman"/>
          <w:sz w:val="28"/>
          <w:szCs w:val="28"/>
        </w:rPr>
        <w:t xml:space="preserve"> тыс. рублей), по сравнению с аналогичным периодом пр</w:t>
      </w:r>
      <w:r>
        <w:rPr>
          <w:rFonts w:ascii="Times New Roman" w:hAnsi="Times New Roman"/>
          <w:sz w:val="28"/>
          <w:szCs w:val="28"/>
        </w:rPr>
        <w:t xml:space="preserve">ошлого года наблюдается </w:t>
      </w:r>
      <w:r w:rsidRPr="002B2E2E">
        <w:rPr>
          <w:rFonts w:ascii="Times New Roman" w:hAnsi="Times New Roman"/>
          <w:sz w:val="28"/>
          <w:szCs w:val="28"/>
        </w:rPr>
        <w:t>рост</w:t>
      </w:r>
      <w:r w:rsidRPr="00AA1E5D">
        <w:rPr>
          <w:rFonts w:ascii="Times New Roman" w:hAnsi="Times New Roman"/>
          <w:sz w:val="28"/>
          <w:szCs w:val="28"/>
        </w:rPr>
        <w:t xml:space="preserve"> на</w:t>
      </w:r>
      <w:r w:rsidR="00FA472C">
        <w:rPr>
          <w:rFonts w:ascii="Times New Roman" w:hAnsi="Times New Roman"/>
          <w:sz w:val="28"/>
          <w:szCs w:val="28"/>
        </w:rPr>
        <w:t xml:space="preserve"> 16847,9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E5D">
        <w:rPr>
          <w:rFonts w:ascii="Times New Roman" w:hAnsi="Times New Roman"/>
          <w:sz w:val="28"/>
          <w:szCs w:val="28"/>
        </w:rPr>
        <w:t xml:space="preserve">тыс. рублей или на </w:t>
      </w:r>
      <w:r w:rsidR="00FA472C">
        <w:rPr>
          <w:rFonts w:ascii="Times New Roman" w:hAnsi="Times New Roman"/>
          <w:sz w:val="28"/>
          <w:szCs w:val="28"/>
        </w:rPr>
        <w:t>40,5</w:t>
      </w:r>
      <w:r w:rsidRPr="00AA1E5D">
        <w:rPr>
          <w:rFonts w:ascii="Times New Roman" w:hAnsi="Times New Roman"/>
          <w:sz w:val="28"/>
          <w:szCs w:val="28"/>
        </w:rPr>
        <w:t>%.</w:t>
      </w:r>
    </w:p>
    <w:p w14:paraId="62B13C5B" w14:textId="77777777" w:rsidR="00EE2A47" w:rsidRDefault="00EE2A47" w:rsidP="00EE2A47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BEC">
        <w:rPr>
          <w:rFonts w:ascii="Times New Roman" w:hAnsi="Times New Roman"/>
          <w:sz w:val="28"/>
          <w:szCs w:val="28"/>
        </w:rPr>
        <w:t>Основными доходными источниками бюджета городского округа  г. Ак-Довурак</w:t>
      </w:r>
      <w:r w:rsidRPr="00FA1BE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 состоянию на 01.01.2023 года</w:t>
      </w:r>
      <w:r w:rsidRPr="00FA1BEC">
        <w:rPr>
          <w:rFonts w:ascii="Times New Roman" w:hAnsi="Times New Roman"/>
          <w:i/>
          <w:sz w:val="28"/>
          <w:szCs w:val="28"/>
        </w:rPr>
        <w:t xml:space="preserve"> </w:t>
      </w:r>
      <w:r w:rsidRPr="00FA1BEC">
        <w:rPr>
          <w:rFonts w:ascii="Times New Roman" w:hAnsi="Times New Roman"/>
          <w:sz w:val="28"/>
          <w:szCs w:val="28"/>
        </w:rPr>
        <w:t xml:space="preserve">являются: </w:t>
      </w:r>
      <w:r>
        <w:rPr>
          <w:rFonts w:ascii="Times New Roman" w:hAnsi="Times New Roman"/>
          <w:sz w:val="28"/>
          <w:szCs w:val="28"/>
        </w:rPr>
        <w:t xml:space="preserve">налоги на </w:t>
      </w:r>
      <w:r w:rsidRPr="004C7CB4">
        <w:rPr>
          <w:rFonts w:ascii="Times New Roman" w:hAnsi="Times New Roman"/>
          <w:sz w:val="28"/>
          <w:szCs w:val="28"/>
        </w:rPr>
        <w:t>доходы физических лиц</w:t>
      </w:r>
      <w:r>
        <w:rPr>
          <w:rFonts w:ascii="Times New Roman" w:hAnsi="Times New Roman"/>
          <w:sz w:val="28"/>
          <w:szCs w:val="28"/>
        </w:rPr>
        <w:t xml:space="preserve"> (48%); налоги на совокупный доход</w:t>
      </w:r>
      <w:r w:rsidRPr="00FA1BEC">
        <w:rPr>
          <w:rFonts w:ascii="Times New Roman" w:hAnsi="Times New Roman"/>
          <w:sz w:val="28"/>
          <w:szCs w:val="28"/>
        </w:rPr>
        <w:t xml:space="preserve"> доля в общем объеме поступлений</w:t>
      </w:r>
      <w:r>
        <w:rPr>
          <w:rFonts w:ascii="Times New Roman" w:hAnsi="Times New Roman"/>
          <w:sz w:val="28"/>
          <w:szCs w:val="28"/>
        </w:rPr>
        <w:t xml:space="preserve"> 28%;</w:t>
      </w:r>
      <w:r w:rsidRPr="00FA1B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доходы от продажи материальных и нематериальных активов (7%); доходы о</w:t>
      </w:r>
      <w:r w:rsidR="00FA472C">
        <w:rPr>
          <w:rFonts w:ascii="Times New Roman" w:hAnsi="Times New Roman"/>
          <w:sz w:val="28"/>
          <w:szCs w:val="28"/>
        </w:rPr>
        <w:t>т использования имущества (4,6</w:t>
      </w:r>
      <w:r>
        <w:rPr>
          <w:rFonts w:ascii="Times New Roman" w:hAnsi="Times New Roman"/>
          <w:sz w:val="28"/>
          <w:szCs w:val="28"/>
        </w:rPr>
        <w:t>%); доходы по акцизам на нефтепродукты (2,9%).</w:t>
      </w:r>
    </w:p>
    <w:p w14:paraId="44656538" w14:textId="77777777" w:rsidR="00EE2A47" w:rsidRDefault="00EE2A47" w:rsidP="00EE2A47">
      <w:pPr>
        <w:pStyle w:val="a8"/>
        <w:keepNext/>
        <w:spacing w:after="0"/>
        <w:ind w:left="0" w:firstLine="709"/>
        <w:jc w:val="both"/>
      </w:pPr>
      <w:r w:rsidRPr="00A9299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00CCF26" wp14:editId="6673DA71">
            <wp:extent cx="4917111" cy="2952750"/>
            <wp:effectExtent l="19050" t="0" r="16839" b="0"/>
            <wp:docPr id="18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E90058" w14:textId="77777777" w:rsidR="00040C59" w:rsidRDefault="00EE2A47" w:rsidP="00EE2A47">
      <w:pPr>
        <w:autoSpaceDE w:val="0"/>
        <w:autoSpaceDN w:val="0"/>
        <w:adjustRightInd w:val="0"/>
        <w:spacing w:line="276" w:lineRule="auto"/>
        <w:jc w:val="both"/>
      </w:pPr>
      <w:r>
        <w:t xml:space="preserve">       </w:t>
      </w:r>
    </w:p>
    <w:p w14:paraId="05BEF222" w14:textId="4CC46C0D" w:rsidR="00040C59" w:rsidRDefault="00040C59" w:rsidP="00040C59">
      <w:pPr>
        <w:pStyle w:val="a8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Крупными налогоплательщиками по НДФЛ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г.Ак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-Довурак за 2022 год являются:</w:t>
      </w:r>
    </w:p>
    <w:p w14:paraId="095BC4BE" w14:textId="77777777" w:rsidR="00040C59" w:rsidRDefault="00040C59" w:rsidP="00040C59">
      <w:pPr>
        <w:pStyle w:val="a8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35FA">
        <w:rPr>
          <w:rFonts w:ascii="Times New Roman" w:hAnsi="Times New Roman"/>
          <w:color w:val="000000" w:themeColor="text1"/>
          <w:sz w:val="28"/>
          <w:szCs w:val="28"/>
        </w:rPr>
        <w:t>ГБУЗ РТ «</w:t>
      </w:r>
      <w:proofErr w:type="spellStart"/>
      <w:r w:rsidRPr="003A35FA">
        <w:rPr>
          <w:rFonts w:ascii="Times New Roman" w:hAnsi="Times New Roman"/>
          <w:color w:val="000000" w:themeColor="text1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A35FA">
        <w:rPr>
          <w:rFonts w:ascii="Times New Roman" w:hAnsi="Times New Roman"/>
          <w:color w:val="000000" w:themeColor="text1"/>
          <w:sz w:val="28"/>
          <w:szCs w:val="28"/>
        </w:rPr>
        <w:t>межкожуунный</w:t>
      </w:r>
      <w:proofErr w:type="spellEnd"/>
      <w:r w:rsidRPr="003A35FA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медицинский центр»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сумма поступлений 6869,5 тыс. рублей (11,8%);</w:t>
      </w:r>
    </w:p>
    <w:p w14:paraId="20976973" w14:textId="77777777" w:rsidR="00040C59" w:rsidRDefault="00040C59" w:rsidP="00040C59">
      <w:pPr>
        <w:pStyle w:val="a8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6BD6">
        <w:rPr>
          <w:rFonts w:ascii="Times New Roman" w:hAnsi="Times New Roman"/>
          <w:color w:val="000000" w:themeColor="text1"/>
          <w:sz w:val="28"/>
          <w:szCs w:val="28"/>
        </w:rPr>
        <w:t>ГУП РТ+"УПРАВЛЯЮЩАЯ КОМПАНИЯ ТЭК 4"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сумме 2343 тыс. рублей (4%);</w:t>
      </w:r>
    </w:p>
    <w:p w14:paraId="6BB532BA" w14:textId="77777777" w:rsidR="00040C59" w:rsidRDefault="00040C59" w:rsidP="00040C59">
      <w:pPr>
        <w:pStyle w:val="a8"/>
        <w:ind w:left="708" w:firstLine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E96BD6">
        <w:rPr>
          <w:rFonts w:ascii="Times New Roman" w:hAnsi="Times New Roman"/>
          <w:color w:val="000000" w:themeColor="text1"/>
          <w:sz w:val="28"/>
          <w:szCs w:val="28"/>
        </w:rPr>
        <w:t>МО МВД РОССИИ "БАРУН-ХЕМЧИКСКИЙ"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1576,6 тыс. рублей (2,7%);</w:t>
      </w:r>
    </w:p>
    <w:p w14:paraId="216806B4" w14:textId="77777777" w:rsidR="00040C59" w:rsidRDefault="00040C59" w:rsidP="00040C59">
      <w:pPr>
        <w:pStyle w:val="a8"/>
        <w:ind w:left="708" w:firstLine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96BD6">
        <w:rPr>
          <w:rFonts w:ascii="Times New Roman" w:hAnsi="Times New Roman"/>
          <w:color w:val="000000" w:themeColor="text1"/>
          <w:sz w:val="28"/>
          <w:szCs w:val="28"/>
        </w:rPr>
        <w:t>ГЛАВНОЕ УПРАВЛЕНИЕ МЧС РОССИИ ПО РЕСПУБЛИКЕ ТЫВА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1415 тыс. рублей (2,4%);</w:t>
      </w:r>
    </w:p>
    <w:p w14:paraId="2ED5E80E" w14:textId="77777777" w:rsidR="00040C59" w:rsidRDefault="00040C59" w:rsidP="00040C59">
      <w:pPr>
        <w:pStyle w:val="a8"/>
        <w:ind w:left="708" w:firstLine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01065">
        <w:rPr>
          <w:rFonts w:ascii="Times New Roman" w:hAnsi="Times New Roman"/>
          <w:color w:val="000000" w:themeColor="text1"/>
          <w:sz w:val="28"/>
          <w:szCs w:val="28"/>
        </w:rPr>
        <w:t>АО "РОССЕТИ СИБИРЬ ТЫВАЭНЕРГО"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сумме 1204,6 тыс. рублей (2%);</w:t>
      </w:r>
    </w:p>
    <w:p w14:paraId="5F34318F" w14:textId="77777777" w:rsidR="00EE2A47" w:rsidRPr="0043391E" w:rsidRDefault="00EE2A47" w:rsidP="00040C5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3391E">
        <w:t xml:space="preserve">Выполнение плана </w:t>
      </w:r>
      <w:r>
        <w:t xml:space="preserve">в разрезе </w:t>
      </w:r>
      <w:r w:rsidRPr="0043391E">
        <w:t>доходных источников выглядит следующим образом:</w:t>
      </w:r>
    </w:p>
    <w:p w14:paraId="705E17EF" w14:textId="77777777" w:rsidR="00EE2A47" w:rsidRDefault="00EE2A47" w:rsidP="0063558C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46159A">
        <w:t xml:space="preserve">- </w:t>
      </w:r>
      <w:r w:rsidRPr="00BC6EA8">
        <w:rPr>
          <w:i/>
        </w:rPr>
        <w:t>по налогу на доходы физических лиц</w:t>
      </w:r>
      <w:r w:rsidRPr="0046159A">
        <w:t xml:space="preserve"> поступило </w:t>
      </w:r>
      <w:r w:rsidR="00FA472C">
        <w:t>28135,5</w:t>
      </w:r>
      <w:r>
        <w:t xml:space="preserve"> тыс. рублей, при плане </w:t>
      </w:r>
      <w:r w:rsidR="00FA472C">
        <w:t>27734</w:t>
      </w:r>
      <w:r>
        <w:t xml:space="preserve"> тыс. рублей. В</w:t>
      </w:r>
      <w:r w:rsidRPr="0046159A">
        <w:t xml:space="preserve">ыполнение </w:t>
      </w:r>
      <w:r>
        <w:t xml:space="preserve">плана </w:t>
      </w:r>
      <w:r w:rsidRPr="00284782">
        <w:t xml:space="preserve">составило </w:t>
      </w:r>
      <w:r>
        <w:t xml:space="preserve">всего </w:t>
      </w:r>
      <w:r w:rsidR="00FA472C">
        <w:t>101</w:t>
      </w:r>
      <w:r w:rsidR="0063558C">
        <w:t>,4</w:t>
      </w:r>
      <w:proofErr w:type="gramStart"/>
      <w:r w:rsidRPr="00284782">
        <w:t>%</w:t>
      </w:r>
      <w:r w:rsidR="003447A7">
        <w:t xml:space="preserve"> </w:t>
      </w:r>
      <w:r>
        <w:t>.</w:t>
      </w:r>
      <w:proofErr w:type="gramEnd"/>
      <w:r>
        <w:t xml:space="preserve"> </w:t>
      </w:r>
      <w:r>
        <w:rPr>
          <w:color w:val="000000" w:themeColor="text1"/>
        </w:rPr>
        <w:t xml:space="preserve">По сравнению  аналогичным периодом прошлого года наблюдается </w:t>
      </w:r>
      <w:r w:rsidR="0063558C">
        <w:rPr>
          <w:color w:val="000000" w:themeColor="text1"/>
        </w:rPr>
        <w:t>увеличение</w:t>
      </w:r>
      <w:r w:rsidRPr="00DB078B">
        <w:rPr>
          <w:color w:val="000000" w:themeColor="text1"/>
        </w:rPr>
        <w:t xml:space="preserve"> на </w:t>
      </w:r>
      <w:r w:rsidR="00FA472C">
        <w:rPr>
          <w:color w:val="000000" w:themeColor="text1"/>
        </w:rPr>
        <w:t>1880,7</w:t>
      </w:r>
      <w:r>
        <w:rPr>
          <w:color w:val="000000" w:themeColor="text1"/>
        </w:rPr>
        <w:t xml:space="preserve"> </w:t>
      </w:r>
      <w:r w:rsidRPr="00DB078B">
        <w:rPr>
          <w:color w:val="000000" w:themeColor="text1"/>
        </w:rPr>
        <w:t xml:space="preserve">тыс. рублей или на </w:t>
      </w:r>
      <w:r w:rsidR="00FA472C">
        <w:rPr>
          <w:color w:val="000000" w:themeColor="text1"/>
        </w:rPr>
        <w:t>7,2</w:t>
      </w:r>
      <w:r w:rsidRPr="00DB078B">
        <w:rPr>
          <w:color w:val="000000" w:themeColor="text1"/>
        </w:rPr>
        <w:t>%</w:t>
      </w:r>
      <w:r>
        <w:rPr>
          <w:color w:val="000000" w:themeColor="text1"/>
        </w:rPr>
        <w:t xml:space="preserve">, </w:t>
      </w:r>
      <w:r w:rsidR="003447A7">
        <w:t xml:space="preserve">в связи положительной динамикой темпов роста заработной платы, </w:t>
      </w:r>
      <w:r w:rsidR="003447A7" w:rsidRPr="00CF26C0">
        <w:rPr>
          <w:color w:val="000000" w:themeColor="text1"/>
        </w:rPr>
        <w:t xml:space="preserve">с </w:t>
      </w:r>
      <w:r w:rsidR="003447A7">
        <w:rPr>
          <w:color w:val="000000" w:themeColor="text1"/>
        </w:rPr>
        <w:t>увеличением оплаты труда с 1 октября 2022</w:t>
      </w:r>
      <w:r w:rsidR="003447A7" w:rsidRPr="00CF26C0">
        <w:rPr>
          <w:color w:val="000000" w:themeColor="text1"/>
        </w:rPr>
        <w:t xml:space="preserve"> года работников </w:t>
      </w:r>
      <w:r w:rsidR="003447A7">
        <w:rPr>
          <w:color w:val="000000" w:themeColor="text1"/>
        </w:rPr>
        <w:t xml:space="preserve">казенных, бюджетных и автономных </w:t>
      </w:r>
      <w:r w:rsidR="003447A7" w:rsidRPr="00CF26C0">
        <w:rPr>
          <w:color w:val="000000" w:themeColor="text1"/>
        </w:rPr>
        <w:t xml:space="preserve">на </w:t>
      </w:r>
      <w:r w:rsidR="003447A7">
        <w:rPr>
          <w:color w:val="000000" w:themeColor="text1"/>
        </w:rPr>
        <w:t>4</w:t>
      </w:r>
      <w:r w:rsidR="003447A7" w:rsidRPr="00CF26C0">
        <w:rPr>
          <w:color w:val="000000" w:themeColor="text1"/>
        </w:rPr>
        <w:t>%</w:t>
      </w:r>
      <w:r w:rsidR="003447A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64C9159F" w14:textId="444E830F" w:rsidR="00EE2A47" w:rsidRDefault="00EE2A47" w:rsidP="00EE2A47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>
        <w:t xml:space="preserve">- </w:t>
      </w:r>
      <w:r w:rsidRPr="00491233">
        <w:rPr>
          <w:i/>
        </w:rPr>
        <w:t>доходы от уплаты акцизов</w:t>
      </w:r>
      <w:r>
        <w:t xml:space="preserve"> поступило </w:t>
      </w:r>
      <w:r w:rsidR="00FA472C">
        <w:t>1736,5</w:t>
      </w:r>
      <w:r>
        <w:t xml:space="preserve"> тыс. рублей, при плане 1</w:t>
      </w:r>
      <w:r w:rsidR="003447A7">
        <w:t>700</w:t>
      </w:r>
      <w:r>
        <w:t xml:space="preserve"> тыс. рублей </w:t>
      </w:r>
      <w:r w:rsidRPr="0046159A">
        <w:t xml:space="preserve">выполнение </w:t>
      </w:r>
      <w:r w:rsidRPr="00284782">
        <w:t xml:space="preserve">составило </w:t>
      </w:r>
      <w:r>
        <w:t>1</w:t>
      </w:r>
      <w:r w:rsidR="003447A7">
        <w:t>02</w:t>
      </w:r>
      <w:r w:rsidR="00FA472C">
        <w:t>,1</w:t>
      </w:r>
      <w:r w:rsidRPr="00284782">
        <w:t>%</w:t>
      </w:r>
      <w:r>
        <w:t xml:space="preserve"> (+</w:t>
      </w:r>
      <w:r w:rsidR="00FA472C">
        <w:t>36,5</w:t>
      </w:r>
      <w:r>
        <w:t xml:space="preserve"> </w:t>
      </w:r>
      <w:r w:rsidRPr="00284782">
        <w:t>тыс.</w:t>
      </w:r>
      <w:r>
        <w:t xml:space="preserve"> </w:t>
      </w:r>
      <w:r w:rsidRPr="00284782">
        <w:t>рублей</w:t>
      </w:r>
      <w:r w:rsidRPr="00152808">
        <w:t>)</w:t>
      </w:r>
      <w:r w:rsidRPr="00DB078B">
        <w:rPr>
          <w:color w:val="000000" w:themeColor="text1"/>
        </w:rPr>
        <w:t>. По сравнению с</w:t>
      </w:r>
      <w:r w:rsidRPr="0046159A">
        <w:t xml:space="preserve"> </w:t>
      </w:r>
      <w:r>
        <w:t xml:space="preserve">аналогичным периодом прошлого года </w:t>
      </w:r>
      <w:r w:rsidRPr="00AB1631">
        <w:t>наблюдается</w:t>
      </w:r>
      <w:r>
        <w:t xml:space="preserve"> </w:t>
      </w:r>
      <w:r w:rsidRPr="00C45CA6">
        <w:t>рост</w:t>
      </w:r>
      <w:r>
        <w:t xml:space="preserve"> </w:t>
      </w:r>
      <w:r w:rsidRPr="006C7ACF">
        <w:t xml:space="preserve">поступлений на </w:t>
      </w:r>
      <w:r w:rsidR="00FA472C">
        <w:t>258,7</w:t>
      </w:r>
      <w:r>
        <w:t xml:space="preserve"> тыс. </w:t>
      </w:r>
      <w:r w:rsidRPr="006C7ACF">
        <w:t xml:space="preserve">рублей или на </w:t>
      </w:r>
      <w:r w:rsidR="00FA472C">
        <w:t>17,5</w:t>
      </w:r>
      <w:r>
        <w:t xml:space="preserve">%, </w:t>
      </w:r>
      <w:r w:rsidRPr="000B2B80">
        <w:t>в связи с ростом доли доходов от упла</w:t>
      </w:r>
      <w:r w:rsidR="003628F1">
        <w:t>ты акцизов на дизтопливо на 27</w:t>
      </w:r>
      <w:r w:rsidRPr="000B2B80">
        <w:t xml:space="preserve">%, и от уплаты акцизов на </w:t>
      </w:r>
      <w:r w:rsidR="003628F1">
        <w:t>автомобильный бензин на 5,8</w:t>
      </w:r>
      <w:r w:rsidRPr="000B2B80">
        <w:t>%.</w:t>
      </w:r>
      <w:r w:rsidRPr="00C86B45">
        <w:rPr>
          <w:color w:val="000000" w:themeColor="text1"/>
        </w:rPr>
        <w:t xml:space="preserve"> </w:t>
      </w:r>
    </w:p>
    <w:p w14:paraId="114F60E3" w14:textId="77777777" w:rsidR="00EE2A47" w:rsidRDefault="00EE2A47" w:rsidP="00EE2A47">
      <w:pPr>
        <w:tabs>
          <w:tab w:val="center" w:pos="4819"/>
          <w:tab w:val="left" w:pos="7336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t xml:space="preserve">       </w:t>
      </w:r>
      <w:r w:rsidRPr="0009665C">
        <w:t xml:space="preserve">- </w:t>
      </w:r>
      <w:r w:rsidRPr="0009665C">
        <w:rPr>
          <w:i/>
        </w:rPr>
        <w:t xml:space="preserve">доходы от уплаты налога упрощенной системы налогообложения </w:t>
      </w:r>
      <w:r>
        <w:t xml:space="preserve">поступило в сумме </w:t>
      </w:r>
      <w:r w:rsidR="00FA472C">
        <w:t>15787,9</w:t>
      </w:r>
      <w:r>
        <w:t xml:space="preserve"> тыс. рублей, при плане 1</w:t>
      </w:r>
      <w:r w:rsidR="003628F1">
        <w:t>5500</w:t>
      </w:r>
      <w:r w:rsidRPr="0009665C">
        <w:t xml:space="preserve"> тыс. рублей</w:t>
      </w:r>
      <w:r w:rsidRPr="00E64834">
        <w:t>.</w:t>
      </w:r>
      <w:r w:rsidRPr="0009665C">
        <w:t xml:space="preserve"> </w:t>
      </w:r>
      <w:r w:rsidRPr="00E64834">
        <w:t>И</w:t>
      </w:r>
      <w:r>
        <w:t xml:space="preserve">сполнение составило </w:t>
      </w:r>
      <w:r w:rsidR="00FA472C">
        <w:t>101,9</w:t>
      </w:r>
      <w:r>
        <w:t>% (</w:t>
      </w:r>
      <w:r w:rsidRPr="004B3AD0">
        <w:t>+</w:t>
      </w:r>
      <w:r w:rsidR="00FA472C">
        <w:t>287,9</w:t>
      </w:r>
      <w:r w:rsidRPr="000A0B7A">
        <w:t xml:space="preserve"> тыс.</w:t>
      </w:r>
      <w:r>
        <w:t xml:space="preserve"> рублей), </w:t>
      </w:r>
      <w:r w:rsidRPr="00055388">
        <w:t xml:space="preserve">в связи </w:t>
      </w:r>
      <w:r>
        <w:t xml:space="preserve">с увеличением начисления </w:t>
      </w:r>
      <w:r w:rsidR="00F958FF">
        <w:t xml:space="preserve">налога </w:t>
      </w:r>
      <w:r w:rsidRPr="00055388">
        <w:t>за 2021 год</w:t>
      </w:r>
      <w:r>
        <w:t xml:space="preserve"> в сумме 11597 тыс. рублей</w:t>
      </w:r>
      <w:r w:rsidRPr="00055388">
        <w:t xml:space="preserve">,  </w:t>
      </w:r>
      <w:r>
        <w:t>а также поступлением задолженности за 2019 год на сумму 1970,0 тыс. рублей, в том числе от ООО «Кураж» 1728 тыс. рублей, ООО «Ак-</w:t>
      </w:r>
      <w:proofErr w:type="spellStart"/>
      <w:r>
        <w:t>Довуракское</w:t>
      </w:r>
      <w:proofErr w:type="spellEnd"/>
      <w:r>
        <w:t xml:space="preserve"> ДРСУ» на 242 тыс. рублей. </w:t>
      </w:r>
      <w:r w:rsidRPr="00284782">
        <w:t>По</w:t>
      </w:r>
      <w:r w:rsidRPr="0046159A">
        <w:t xml:space="preserve"> сравнению с </w:t>
      </w:r>
      <w:r>
        <w:t xml:space="preserve">аналогичным периодом прошлого года </w:t>
      </w:r>
      <w:r w:rsidRPr="00AB1631">
        <w:t>наблюдается</w:t>
      </w:r>
      <w:r>
        <w:t xml:space="preserve"> рост </w:t>
      </w:r>
      <w:r w:rsidRPr="006C7ACF">
        <w:t xml:space="preserve">поступлений на </w:t>
      </w:r>
      <w:r w:rsidR="001F7973">
        <w:t>10904,3</w:t>
      </w:r>
      <w:r>
        <w:t xml:space="preserve"> тыс. рублей. </w:t>
      </w:r>
    </w:p>
    <w:p w14:paraId="2D449C10" w14:textId="2D23750F" w:rsidR="00EE2A47" w:rsidRPr="00920836" w:rsidRDefault="00EE2A47" w:rsidP="00EE2A47">
      <w:pPr>
        <w:spacing w:line="276" w:lineRule="auto"/>
        <w:ind w:firstLine="567"/>
        <w:jc w:val="both"/>
      </w:pPr>
      <w:r>
        <w:t xml:space="preserve"> - </w:t>
      </w:r>
      <w:r w:rsidRPr="004B05AB">
        <w:rPr>
          <w:i/>
        </w:rPr>
        <w:t>налог, взимаемый в связи с применением патентной системы налогообложения</w:t>
      </w:r>
      <w:r w:rsidRPr="00565CC1">
        <w:t xml:space="preserve"> </w:t>
      </w:r>
      <w:r>
        <w:t xml:space="preserve">(ПСН) поступило </w:t>
      </w:r>
      <w:r w:rsidR="00FA472C">
        <w:t>759,7</w:t>
      </w:r>
      <w:r>
        <w:t xml:space="preserve"> тыс. рублей, при плане </w:t>
      </w:r>
      <w:r w:rsidR="000030EB">
        <w:t>700</w:t>
      </w:r>
      <w:r>
        <w:t>,0 тыс. рублей</w:t>
      </w:r>
      <w:r w:rsidRPr="00B472AB">
        <w:t>,</w:t>
      </w:r>
      <w:r w:rsidRPr="00017BE6">
        <w:rPr>
          <w:b/>
        </w:rPr>
        <w:t xml:space="preserve"> </w:t>
      </w:r>
      <w:r w:rsidRPr="00B472AB">
        <w:t xml:space="preserve">выполнение составило </w:t>
      </w:r>
      <w:r>
        <w:t>1</w:t>
      </w:r>
      <w:r w:rsidR="00FA472C">
        <w:t>08,5</w:t>
      </w:r>
      <w:r>
        <w:t xml:space="preserve">%, </w:t>
      </w:r>
      <w:r w:rsidRPr="00920836">
        <w:t xml:space="preserve">в </w:t>
      </w:r>
      <w:r w:rsidRPr="00F5324F">
        <w:t xml:space="preserve">связи с увеличением </w:t>
      </w:r>
      <w:proofErr w:type="gramStart"/>
      <w:r w:rsidRPr="00F5324F">
        <w:t xml:space="preserve">количества  </w:t>
      </w:r>
      <w:r>
        <w:t>выданных</w:t>
      </w:r>
      <w:proofErr w:type="gramEnd"/>
      <w:r w:rsidR="00CA6683">
        <w:t xml:space="preserve"> </w:t>
      </w:r>
      <w:r>
        <w:t>патентов с начала текущего года до 113</w:t>
      </w:r>
      <w:r w:rsidRPr="00D003A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единиц (+32 ед.). </w:t>
      </w:r>
      <w:r w:rsidRPr="00284782">
        <w:t>По</w:t>
      </w:r>
      <w:r w:rsidRPr="0046159A">
        <w:t xml:space="preserve"> сравнению с </w:t>
      </w:r>
      <w:r>
        <w:t xml:space="preserve">аналогичным периодом прошлого года </w:t>
      </w:r>
      <w:r w:rsidRPr="00AB1631">
        <w:t>наблюдается</w:t>
      </w:r>
      <w:r>
        <w:t xml:space="preserve"> рост </w:t>
      </w:r>
      <w:r w:rsidRPr="006C7ACF">
        <w:t xml:space="preserve">поступлений на </w:t>
      </w:r>
      <w:r w:rsidR="00FA472C">
        <w:t>238,9</w:t>
      </w:r>
      <w:r>
        <w:t xml:space="preserve"> тыс. рублей. </w:t>
      </w:r>
    </w:p>
    <w:p w14:paraId="3C23E31C" w14:textId="77777777" w:rsidR="00EE2A47" w:rsidRPr="0009665C" w:rsidRDefault="00EE2A47" w:rsidP="00EE2A47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7F38F2">
        <w:t>-</w:t>
      </w:r>
      <w:r w:rsidRPr="007F38F2">
        <w:rPr>
          <w:i/>
        </w:rPr>
        <w:t xml:space="preserve"> </w:t>
      </w:r>
      <w:r w:rsidRPr="0009665C">
        <w:rPr>
          <w:i/>
        </w:rPr>
        <w:t xml:space="preserve">по единому сельскохозяйственному налогу </w:t>
      </w:r>
      <w:r>
        <w:t>поступило 67,4 тыс. рублей, при плане 6</w:t>
      </w:r>
      <w:r w:rsidR="0052523F">
        <w:t>7</w:t>
      </w:r>
      <w:r w:rsidRPr="0009665C">
        <w:t xml:space="preserve"> тыс. рублей,</w:t>
      </w:r>
      <w:r w:rsidR="0052523F">
        <w:t xml:space="preserve"> исполнение составило 100,6%</w:t>
      </w:r>
      <w:r>
        <w:rPr>
          <w:color w:val="000000" w:themeColor="text1"/>
        </w:rPr>
        <w:t xml:space="preserve">. </w:t>
      </w:r>
      <w:r w:rsidRPr="0009665C">
        <w:rPr>
          <w:color w:val="000000" w:themeColor="text1"/>
        </w:rPr>
        <w:t>По сравнению с</w:t>
      </w:r>
      <w:r w:rsidRPr="0009665C">
        <w:t xml:space="preserve"> аналогичным периодом прошлого года наб</w:t>
      </w:r>
      <w:r>
        <w:t xml:space="preserve">людается рост поступлений на </w:t>
      </w:r>
      <w:r>
        <w:lastRenderedPageBreak/>
        <w:t>33,2 тыс. рублей, в связи с уплатой задолженности за 2021 год в сумме 17,9 тыс. рублей СПК «</w:t>
      </w:r>
      <w:proofErr w:type="spellStart"/>
      <w:r>
        <w:t>Алаш</w:t>
      </w:r>
      <w:proofErr w:type="spellEnd"/>
      <w:r>
        <w:t>».</w:t>
      </w:r>
      <w:r>
        <w:rPr>
          <w:color w:val="000000" w:themeColor="text1"/>
        </w:rPr>
        <w:t xml:space="preserve"> </w:t>
      </w:r>
    </w:p>
    <w:p w14:paraId="47CC8615" w14:textId="77777777" w:rsidR="00EE2A47" w:rsidRDefault="00EE2A47" w:rsidP="00EE2A47">
      <w:pPr>
        <w:spacing w:line="276" w:lineRule="auto"/>
        <w:ind w:firstLine="567"/>
        <w:jc w:val="both"/>
        <w:rPr>
          <w:sz w:val="27"/>
          <w:szCs w:val="27"/>
        </w:rPr>
      </w:pPr>
      <w:r>
        <w:t>-</w:t>
      </w:r>
      <w:r w:rsidRPr="00042284">
        <w:rPr>
          <w:i/>
        </w:rPr>
        <w:t xml:space="preserve"> </w:t>
      </w:r>
      <w:r>
        <w:rPr>
          <w:i/>
        </w:rPr>
        <w:t xml:space="preserve">налог на имущество физических лиц </w:t>
      </w:r>
      <w:r>
        <w:t xml:space="preserve">поступило </w:t>
      </w:r>
      <w:r w:rsidR="002D7ECE">
        <w:t>1738,7</w:t>
      </w:r>
      <w:r>
        <w:t xml:space="preserve"> тыс. рублей, при плане </w:t>
      </w:r>
      <w:r w:rsidR="0052523F">
        <w:t>1700</w:t>
      </w:r>
      <w:r>
        <w:t xml:space="preserve"> тыс. рублей </w:t>
      </w:r>
      <w:r w:rsidRPr="0046159A">
        <w:t xml:space="preserve">выполнение </w:t>
      </w:r>
      <w:r w:rsidRPr="00284782">
        <w:t>составило</w:t>
      </w:r>
      <w:r>
        <w:t xml:space="preserve"> </w:t>
      </w:r>
      <w:r w:rsidR="002D7ECE">
        <w:t>102,3</w:t>
      </w:r>
      <w:r w:rsidRPr="00284782">
        <w:t>%</w:t>
      </w:r>
      <w:r>
        <w:t xml:space="preserve"> (</w:t>
      </w:r>
      <w:r w:rsidR="002D7ECE">
        <w:t>+38,7</w:t>
      </w:r>
      <w:r>
        <w:t xml:space="preserve"> </w:t>
      </w:r>
      <w:r w:rsidRPr="00284782">
        <w:t>тыс.</w:t>
      </w:r>
      <w:r>
        <w:t xml:space="preserve"> </w:t>
      </w:r>
      <w:r w:rsidRPr="00284782">
        <w:t>рублей</w:t>
      </w:r>
      <w:r w:rsidRPr="0067370E">
        <w:t>),</w:t>
      </w:r>
      <w:r w:rsidRPr="00017BE6">
        <w:rPr>
          <w:b/>
        </w:rPr>
        <w:t xml:space="preserve"> </w:t>
      </w:r>
      <w:r>
        <w:rPr>
          <w:color w:val="000000" w:themeColor="text1"/>
        </w:rPr>
        <w:t xml:space="preserve">в </w:t>
      </w:r>
      <w:r w:rsidR="0052523F">
        <w:t>связи с увеличением текущих платежей и начисления за 2021 на 524,1 тыс. рублей</w:t>
      </w:r>
      <w:r w:rsidRPr="00F726F7">
        <w:rPr>
          <w:color w:val="000000" w:themeColor="text1"/>
        </w:rPr>
        <w:t>. По сравнению с</w:t>
      </w:r>
      <w:r w:rsidRPr="0046159A">
        <w:t xml:space="preserve"> </w:t>
      </w:r>
      <w:r>
        <w:t xml:space="preserve">аналогичным периодом прошлого года </w:t>
      </w:r>
      <w:r w:rsidRPr="00AB1631">
        <w:t>наблюдается</w:t>
      </w:r>
      <w:r>
        <w:t xml:space="preserve"> </w:t>
      </w:r>
      <w:r w:rsidR="0052523F">
        <w:t>рост</w:t>
      </w:r>
      <w:r>
        <w:t xml:space="preserve"> </w:t>
      </w:r>
      <w:r w:rsidRPr="006C7ACF">
        <w:t xml:space="preserve">поступлений на </w:t>
      </w:r>
      <w:r w:rsidR="002D7ECE">
        <w:t>512,7</w:t>
      </w:r>
      <w:r>
        <w:t xml:space="preserve"> </w:t>
      </w:r>
      <w:r w:rsidR="0052523F">
        <w:t>тыс. рублей.</w:t>
      </w:r>
      <w:r>
        <w:t xml:space="preserve"> </w:t>
      </w:r>
    </w:p>
    <w:p w14:paraId="0C40B676" w14:textId="77777777" w:rsidR="0052523F" w:rsidRDefault="00EE2A47" w:rsidP="00EE2A47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-</w:t>
      </w:r>
      <w:r w:rsidRPr="00042284">
        <w:rPr>
          <w:i/>
        </w:rPr>
        <w:t xml:space="preserve"> </w:t>
      </w:r>
      <w:r>
        <w:rPr>
          <w:i/>
        </w:rPr>
        <w:t>земельный налог</w:t>
      </w:r>
      <w:r>
        <w:t xml:space="preserve"> </w:t>
      </w:r>
      <w:r w:rsidRPr="00981E61">
        <w:rPr>
          <w:i/>
        </w:rPr>
        <w:t>физических лиц</w:t>
      </w:r>
      <w:r>
        <w:t xml:space="preserve"> поступило</w:t>
      </w:r>
      <w:r w:rsidR="00BC5D52">
        <w:t xml:space="preserve"> 862,9</w:t>
      </w:r>
      <w:r w:rsidR="0052523F">
        <w:t xml:space="preserve"> тыс. рублей, при плане 850</w:t>
      </w:r>
      <w:r>
        <w:t xml:space="preserve"> тыс. рублей </w:t>
      </w:r>
      <w:r w:rsidRPr="0046159A">
        <w:t xml:space="preserve">выполнение </w:t>
      </w:r>
      <w:r w:rsidRPr="00284782">
        <w:t>составило</w:t>
      </w:r>
      <w:r>
        <w:t xml:space="preserve"> </w:t>
      </w:r>
      <w:r w:rsidR="002D7ECE">
        <w:t>101</w:t>
      </w:r>
      <w:r w:rsidR="00BC5D52">
        <w:t>,5</w:t>
      </w:r>
      <w:r w:rsidRPr="00284782">
        <w:t>%</w:t>
      </w:r>
      <w:r>
        <w:t xml:space="preserve"> (</w:t>
      </w:r>
      <w:r w:rsidR="00BC5D52">
        <w:t>+12,9</w:t>
      </w:r>
      <w:r>
        <w:t xml:space="preserve"> </w:t>
      </w:r>
      <w:r w:rsidRPr="00284782">
        <w:t>тыс.</w:t>
      </w:r>
      <w:r>
        <w:t xml:space="preserve"> </w:t>
      </w:r>
      <w:r w:rsidRPr="00284782">
        <w:t>рублей</w:t>
      </w:r>
      <w:r w:rsidRPr="00F726F7">
        <w:t>),</w:t>
      </w:r>
      <w:r>
        <w:t xml:space="preserve"> </w:t>
      </w:r>
      <w:r>
        <w:rPr>
          <w:color w:val="000000" w:themeColor="text1"/>
        </w:rPr>
        <w:t xml:space="preserve">в связи увеличением платежей от налогоплательщиков от начисленных сумм налога за 2021 год. </w:t>
      </w:r>
      <w:r w:rsidRPr="00F726F7">
        <w:t>По сравнению</w:t>
      </w:r>
      <w:r w:rsidRPr="0046159A">
        <w:t xml:space="preserve"> с </w:t>
      </w:r>
      <w:r>
        <w:t xml:space="preserve">аналогичным периодом прошлого года </w:t>
      </w:r>
      <w:r w:rsidRPr="00AB1631">
        <w:t>наблюдается</w:t>
      </w:r>
      <w:r>
        <w:t xml:space="preserve"> рост</w:t>
      </w:r>
      <w:r w:rsidRPr="00D26C90">
        <w:t xml:space="preserve"> </w:t>
      </w:r>
      <w:r w:rsidRPr="006C7ACF">
        <w:t xml:space="preserve">поступлений на </w:t>
      </w:r>
      <w:r w:rsidR="00BC5D52">
        <w:t>172,5</w:t>
      </w:r>
      <w:r>
        <w:t xml:space="preserve"> </w:t>
      </w:r>
      <w:r w:rsidRPr="006C7ACF">
        <w:t xml:space="preserve">тыс. рублей или на </w:t>
      </w:r>
      <w:r w:rsidR="00BC5D52">
        <w:t>25</w:t>
      </w:r>
      <w:r>
        <w:t xml:space="preserve">%, </w:t>
      </w:r>
      <w:r w:rsidRPr="00CD2740">
        <w:t>в связи</w:t>
      </w:r>
      <w:r>
        <w:rPr>
          <w:sz w:val="27"/>
          <w:szCs w:val="27"/>
        </w:rPr>
        <w:t xml:space="preserve"> </w:t>
      </w:r>
      <w:r w:rsidRPr="00981E61">
        <w:t xml:space="preserve">с </w:t>
      </w:r>
      <w:r>
        <w:t>увеличением текущих платежей</w:t>
      </w:r>
      <w:r w:rsidRPr="00981E61">
        <w:t xml:space="preserve"> </w:t>
      </w:r>
      <w:r>
        <w:t xml:space="preserve">за 2021 год </w:t>
      </w:r>
      <w:r w:rsidRPr="00981E61">
        <w:t xml:space="preserve">от налогоплательщиков. </w:t>
      </w:r>
    </w:p>
    <w:p w14:paraId="29A496C0" w14:textId="77777777" w:rsidR="00EE2A47" w:rsidRPr="00981E61" w:rsidRDefault="00EE2A47" w:rsidP="00EE2A47">
      <w:pPr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i/>
        </w:rPr>
        <w:t>- з</w:t>
      </w:r>
      <w:r w:rsidRPr="00981E61">
        <w:rPr>
          <w:i/>
        </w:rPr>
        <w:t>емельный налог юридических лиц</w:t>
      </w:r>
      <w:r w:rsidRPr="00981E61">
        <w:t xml:space="preserve"> поступило </w:t>
      </w:r>
      <w:r w:rsidR="009A55C2">
        <w:t>854,1</w:t>
      </w:r>
      <w:r w:rsidRPr="00981E61">
        <w:t xml:space="preserve"> тыс.</w:t>
      </w:r>
      <w:r>
        <w:t xml:space="preserve"> рублей, при плане за </w:t>
      </w:r>
      <w:r w:rsidR="0052523F">
        <w:t>850</w:t>
      </w:r>
      <w:r w:rsidRPr="00981E61">
        <w:t>,0 тыс.</w:t>
      </w:r>
      <w:r>
        <w:t xml:space="preserve"> </w:t>
      </w:r>
      <w:r w:rsidRPr="00981E61">
        <w:t>ру</w:t>
      </w:r>
      <w:r>
        <w:t xml:space="preserve">блей, исполнение составило </w:t>
      </w:r>
      <w:r w:rsidR="009A55C2">
        <w:t>100,5</w:t>
      </w:r>
      <w:r w:rsidRPr="00981E61">
        <w:t>%</w:t>
      </w:r>
      <w:r w:rsidR="009A55C2">
        <w:t xml:space="preserve"> (+4,1</w:t>
      </w:r>
      <w:r>
        <w:t xml:space="preserve"> тыс. рублей).</w:t>
      </w:r>
      <w:r w:rsidRPr="00981E61">
        <w:t xml:space="preserve"> По сравнению с аналогичным периодом прошлого года </w:t>
      </w:r>
      <w:r>
        <w:t>наблюдается снижение</w:t>
      </w:r>
      <w:r w:rsidRPr="00981E61">
        <w:t xml:space="preserve"> на </w:t>
      </w:r>
      <w:r w:rsidR="009A55C2">
        <w:t>158,4</w:t>
      </w:r>
      <w:r w:rsidRPr="00981E61">
        <w:t xml:space="preserve"> тыс.</w:t>
      </w:r>
      <w:r w:rsidRPr="000B1B80">
        <w:t xml:space="preserve"> </w:t>
      </w:r>
      <w:r>
        <w:t>рублей, в связи с</w:t>
      </w:r>
      <w:r w:rsidR="007335E4">
        <w:t>нижением начисления за 2021 год на 124,6 тыс. рублей.</w:t>
      </w:r>
      <w:r w:rsidRPr="00981E61">
        <w:t xml:space="preserve"> </w:t>
      </w:r>
    </w:p>
    <w:p w14:paraId="2A37FAF9" w14:textId="531E2449" w:rsidR="00AA4A8F" w:rsidRDefault="00EE2A47" w:rsidP="00EE2A47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-</w:t>
      </w:r>
      <w:r w:rsidRPr="00042284">
        <w:rPr>
          <w:i/>
        </w:rPr>
        <w:t xml:space="preserve"> </w:t>
      </w:r>
      <w:r>
        <w:rPr>
          <w:i/>
        </w:rPr>
        <w:t xml:space="preserve">государственная пошлина </w:t>
      </w:r>
      <w:r>
        <w:t xml:space="preserve">поступило </w:t>
      </w:r>
      <w:r w:rsidR="002D7ECE">
        <w:t>1305,1</w:t>
      </w:r>
      <w:r>
        <w:t xml:space="preserve"> тыс. рублей, при плане </w:t>
      </w:r>
      <w:r w:rsidR="00AA4A8F">
        <w:t>1200</w:t>
      </w:r>
      <w:r>
        <w:t xml:space="preserve"> тыс. рублей </w:t>
      </w:r>
      <w:r w:rsidRPr="0046159A">
        <w:t xml:space="preserve">выполнение </w:t>
      </w:r>
      <w:r w:rsidRPr="00284782">
        <w:t xml:space="preserve">составило </w:t>
      </w:r>
      <w:r w:rsidR="00AA4A8F">
        <w:t>108</w:t>
      </w:r>
      <w:r w:rsidR="00446A67">
        <w:t>,8</w:t>
      </w:r>
      <w:r w:rsidRPr="00284782">
        <w:t>%</w:t>
      </w:r>
      <w:r>
        <w:t xml:space="preserve"> (</w:t>
      </w:r>
      <w:r w:rsidRPr="0089114A">
        <w:t>+</w:t>
      </w:r>
      <w:r w:rsidR="00446A67">
        <w:t>105,1</w:t>
      </w:r>
      <w:r>
        <w:t xml:space="preserve"> </w:t>
      </w:r>
      <w:r w:rsidRPr="00284782">
        <w:t>тыс.</w:t>
      </w:r>
      <w:r>
        <w:t xml:space="preserve"> </w:t>
      </w:r>
      <w:r w:rsidRPr="00284782">
        <w:t>рублей</w:t>
      </w:r>
      <w:r w:rsidRPr="001766B7">
        <w:t>),</w:t>
      </w:r>
      <w:r w:rsidRPr="00017BE6">
        <w:rPr>
          <w:b/>
        </w:rPr>
        <w:t xml:space="preserve"> </w:t>
      </w:r>
      <w:r w:rsidRPr="00747F94">
        <w:t xml:space="preserve">в связи с </w:t>
      </w:r>
      <w:r w:rsidRPr="0089114A">
        <w:t>ростом количества</w:t>
      </w:r>
      <w:r w:rsidRPr="00747F94">
        <w:t xml:space="preserve"> </w:t>
      </w:r>
      <w:r>
        <w:t>исковых заявлений</w:t>
      </w:r>
      <w:r w:rsidRPr="00747F94">
        <w:t xml:space="preserve"> граждан</w:t>
      </w:r>
      <w:r>
        <w:t>, за выдачу судебных приказов</w:t>
      </w:r>
      <w:r w:rsidRPr="00747F94">
        <w:t>.</w:t>
      </w:r>
      <w:r w:rsidRPr="00284782">
        <w:t xml:space="preserve"> По</w:t>
      </w:r>
      <w:r w:rsidRPr="0046159A">
        <w:t xml:space="preserve"> сравнению с </w:t>
      </w:r>
      <w:r>
        <w:t xml:space="preserve">аналогичным периодом прошлого года </w:t>
      </w:r>
      <w:r w:rsidRPr="00AB1631">
        <w:t>наблюдается</w:t>
      </w:r>
      <w:r>
        <w:t xml:space="preserve"> рост </w:t>
      </w:r>
      <w:r w:rsidRPr="006C7ACF">
        <w:t xml:space="preserve">поступлений на </w:t>
      </w:r>
      <w:r w:rsidR="00446A67">
        <w:t>583</w:t>
      </w:r>
      <w:r>
        <w:t xml:space="preserve"> </w:t>
      </w:r>
      <w:r w:rsidRPr="006C7ACF">
        <w:t xml:space="preserve">тыс. рублей или на </w:t>
      </w:r>
      <w:r w:rsidR="00446A67">
        <w:t>80,7</w:t>
      </w:r>
      <w:r>
        <w:t xml:space="preserve">%. </w:t>
      </w:r>
    </w:p>
    <w:p w14:paraId="40A3F747" w14:textId="77777777" w:rsidR="00AA4A8F" w:rsidRDefault="00EE2A47" w:rsidP="00EE2A47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-</w:t>
      </w:r>
      <w:r w:rsidRPr="00042284">
        <w:rPr>
          <w:i/>
        </w:rPr>
        <w:t xml:space="preserve"> </w:t>
      </w:r>
      <w:r>
        <w:rPr>
          <w:i/>
        </w:rPr>
        <w:t xml:space="preserve">доходы от использования имущества, аренда земли </w:t>
      </w:r>
      <w:r>
        <w:t xml:space="preserve">поступило </w:t>
      </w:r>
      <w:r w:rsidR="00702922">
        <w:t>897,3</w:t>
      </w:r>
      <w:r>
        <w:t xml:space="preserve"> тыс. рублей, при плане </w:t>
      </w:r>
      <w:r w:rsidR="00AA4A8F">
        <w:t>890</w:t>
      </w:r>
      <w:r w:rsidRPr="00485D43">
        <w:t xml:space="preserve"> </w:t>
      </w:r>
      <w:r>
        <w:t xml:space="preserve">тыс. рублей </w:t>
      </w:r>
      <w:r w:rsidRPr="0046159A">
        <w:t xml:space="preserve">выполнение </w:t>
      </w:r>
      <w:r w:rsidRPr="00284782">
        <w:t xml:space="preserve">составило </w:t>
      </w:r>
      <w:r>
        <w:t>1</w:t>
      </w:r>
      <w:r w:rsidR="00702922">
        <w:t>00,8</w:t>
      </w:r>
      <w:r w:rsidRPr="00284782">
        <w:t>%</w:t>
      </w:r>
      <w:r>
        <w:t xml:space="preserve"> (+</w:t>
      </w:r>
      <w:r w:rsidR="00702922">
        <w:t>7,3</w:t>
      </w:r>
      <w:r>
        <w:t xml:space="preserve"> </w:t>
      </w:r>
      <w:r w:rsidRPr="00284782">
        <w:t>тыс.</w:t>
      </w:r>
      <w:r>
        <w:t xml:space="preserve"> </w:t>
      </w:r>
      <w:r w:rsidRPr="00284782">
        <w:t>рублей</w:t>
      </w:r>
      <w:r w:rsidR="00AA4A8F">
        <w:t>)</w:t>
      </w:r>
      <w:r>
        <w:rPr>
          <w:color w:val="000000" w:themeColor="text1"/>
        </w:rPr>
        <w:t xml:space="preserve">. </w:t>
      </w:r>
      <w:r w:rsidRPr="00284782">
        <w:t>По</w:t>
      </w:r>
      <w:r w:rsidRPr="0046159A">
        <w:t xml:space="preserve"> сравнению с </w:t>
      </w:r>
      <w:r>
        <w:t xml:space="preserve">аналогичным периодом прошлого года </w:t>
      </w:r>
      <w:r w:rsidRPr="00AB1631">
        <w:t>наблюдается</w:t>
      </w:r>
      <w:r>
        <w:t xml:space="preserve"> рост </w:t>
      </w:r>
      <w:r w:rsidRPr="006C7ACF">
        <w:t xml:space="preserve">поступлений на </w:t>
      </w:r>
      <w:r>
        <w:t>3</w:t>
      </w:r>
      <w:r w:rsidR="00702922">
        <w:t>88,4</w:t>
      </w:r>
      <w:r>
        <w:t xml:space="preserve"> тыс. рублей, </w:t>
      </w:r>
      <w:r w:rsidR="00AA4A8F" w:rsidRPr="00474F20">
        <w:rPr>
          <w:color w:val="000000" w:themeColor="text1"/>
        </w:rPr>
        <w:t>в</w:t>
      </w:r>
      <w:r w:rsidR="00AA4A8F">
        <w:rPr>
          <w:color w:val="000000" w:themeColor="text1"/>
        </w:rPr>
        <w:t xml:space="preserve"> связи с </w:t>
      </w:r>
      <w:r w:rsidR="00AA4A8F" w:rsidRPr="0031241B">
        <w:rPr>
          <w:color w:val="000000" w:themeColor="text1"/>
        </w:rPr>
        <w:t>у</w:t>
      </w:r>
      <w:r w:rsidR="00AA4A8F">
        <w:rPr>
          <w:color w:val="000000" w:themeColor="text1"/>
        </w:rPr>
        <w:t>платой задолженности за 2021 год от ГУП РТ "УК ТЭК</w:t>
      </w:r>
      <w:r w:rsidR="00AA4A8F" w:rsidRPr="002919DE">
        <w:rPr>
          <w:color w:val="000000" w:themeColor="text1"/>
        </w:rPr>
        <w:t>-4"</w:t>
      </w:r>
      <w:r w:rsidR="00AA4A8F">
        <w:rPr>
          <w:color w:val="000000" w:themeColor="text1"/>
        </w:rPr>
        <w:t xml:space="preserve"> на сумму 314,8 тыс. рублей</w:t>
      </w:r>
      <w:r w:rsidR="00AA4A8F">
        <w:t>.</w:t>
      </w:r>
    </w:p>
    <w:p w14:paraId="6D5229F2" w14:textId="5BD66BA0" w:rsidR="000D1F56" w:rsidRDefault="00EE2A47" w:rsidP="00EE2A47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-</w:t>
      </w:r>
      <w:r w:rsidRPr="00042284">
        <w:rPr>
          <w:i/>
        </w:rPr>
        <w:t xml:space="preserve"> </w:t>
      </w:r>
      <w:r>
        <w:rPr>
          <w:i/>
        </w:rPr>
        <w:t xml:space="preserve">доходы от сдачи имущества </w:t>
      </w:r>
      <w:r>
        <w:t xml:space="preserve">поступило </w:t>
      </w:r>
      <w:r w:rsidR="006B21B1">
        <w:t>1802,7 тыс. рублей, при плане 1800</w:t>
      </w:r>
      <w:r>
        <w:t xml:space="preserve"> тыс. рублей </w:t>
      </w:r>
      <w:r w:rsidRPr="0046159A">
        <w:t xml:space="preserve">выполнение </w:t>
      </w:r>
      <w:r w:rsidRPr="00284782">
        <w:t xml:space="preserve">составило </w:t>
      </w:r>
      <w:r>
        <w:t>1</w:t>
      </w:r>
      <w:r w:rsidR="006B21B1">
        <w:t>00,2</w:t>
      </w:r>
      <w:r w:rsidRPr="00284782">
        <w:t>%</w:t>
      </w:r>
      <w:r w:rsidRPr="00E275AC">
        <w:t xml:space="preserve"> </w:t>
      </w:r>
      <w:r>
        <w:t>(+</w:t>
      </w:r>
      <w:r w:rsidR="006B21B1">
        <w:t>2,7</w:t>
      </w:r>
      <w:r>
        <w:t xml:space="preserve"> </w:t>
      </w:r>
      <w:r w:rsidRPr="00284782">
        <w:t>тыс.</w:t>
      </w:r>
      <w:r>
        <w:t xml:space="preserve"> </w:t>
      </w:r>
      <w:r w:rsidRPr="00284782">
        <w:t>рублей</w:t>
      </w:r>
      <w:r w:rsidRPr="000B2280">
        <w:t xml:space="preserve">), </w:t>
      </w:r>
      <w:r>
        <w:rPr>
          <w:color w:val="000000" w:themeColor="text1"/>
        </w:rPr>
        <w:t xml:space="preserve">в связи </w:t>
      </w:r>
      <w:r>
        <w:rPr>
          <w:color w:val="000000" w:themeColor="text1"/>
          <w:lang w:val="en-US"/>
        </w:rPr>
        <w:t>c</w:t>
      </w:r>
      <w:r w:rsidRPr="00CE2916">
        <w:rPr>
          <w:color w:val="000000" w:themeColor="text1"/>
        </w:rPr>
        <w:t xml:space="preserve"> уплатой </w:t>
      </w:r>
      <w:r>
        <w:rPr>
          <w:color w:val="000000" w:themeColor="text1"/>
        </w:rPr>
        <w:t xml:space="preserve">арендных платежей от арендаторов. </w:t>
      </w:r>
      <w:r w:rsidRPr="00284782">
        <w:t>По</w:t>
      </w:r>
      <w:r w:rsidRPr="0046159A">
        <w:t xml:space="preserve"> сравнению с </w:t>
      </w:r>
      <w:r>
        <w:t xml:space="preserve">аналогичным периодом прошлого года </w:t>
      </w:r>
      <w:r w:rsidRPr="00AB1631">
        <w:t>наблюдается</w:t>
      </w:r>
      <w:r>
        <w:t xml:space="preserve"> рост </w:t>
      </w:r>
      <w:r w:rsidRPr="006C7ACF">
        <w:t xml:space="preserve">поступлений на </w:t>
      </w:r>
      <w:r w:rsidR="0074335E">
        <w:t>297,7</w:t>
      </w:r>
      <w:r>
        <w:t xml:space="preserve"> тыс. рублей, </w:t>
      </w:r>
      <w:r w:rsidRPr="00E748A2">
        <w:t xml:space="preserve">в связи с </w:t>
      </w:r>
      <w:r>
        <w:t>ростом задолженности</w:t>
      </w:r>
      <w:r w:rsidRPr="00E748A2">
        <w:t xml:space="preserve"> арендных платежей</w:t>
      </w:r>
      <w:r>
        <w:t xml:space="preserve"> (</w:t>
      </w:r>
      <w:proofErr w:type="spellStart"/>
      <w:r>
        <w:t>Шангыр</w:t>
      </w:r>
      <w:proofErr w:type="spellEnd"/>
      <w:r>
        <w:t xml:space="preserve">-Хая сумма долга 107 тыс. рублей, </w:t>
      </w:r>
      <w:proofErr w:type="spellStart"/>
      <w:r>
        <w:t>Кужугет</w:t>
      </w:r>
      <w:proofErr w:type="spellEnd"/>
      <w:r>
        <w:t xml:space="preserve"> В.К. 48 тыс. рублей, Прачечная 26,9 тыс. рублей)</w:t>
      </w:r>
      <w:r w:rsidRPr="00E748A2">
        <w:t xml:space="preserve"> от</w:t>
      </w:r>
      <w:r>
        <w:t xml:space="preserve"> арендаторов в прошлом отчетном периоде. </w:t>
      </w:r>
    </w:p>
    <w:p w14:paraId="042009E0" w14:textId="77777777" w:rsidR="0078379E" w:rsidRDefault="00EE2A47" w:rsidP="00EE2A47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-</w:t>
      </w:r>
      <w:r w:rsidRPr="00042284">
        <w:rPr>
          <w:i/>
        </w:rPr>
        <w:t xml:space="preserve"> </w:t>
      </w:r>
      <w:r>
        <w:rPr>
          <w:i/>
        </w:rPr>
        <w:t xml:space="preserve">плата за негативное воздействие на окружающую среду </w:t>
      </w:r>
      <w:r>
        <w:t xml:space="preserve">поступило </w:t>
      </w:r>
      <w:r w:rsidR="0078379E">
        <w:t>232,7</w:t>
      </w:r>
      <w:r>
        <w:t xml:space="preserve"> тыс. рублей (</w:t>
      </w:r>
      <w:r w:rsidR="0078379E">
        <w:t>+2,7</w:t>
      </w:r>
      <w:r>
        <w:t xml:space="preserve"> тыс. рублей). </w:t>
      </w:r>
      <w:r w:rsidRPr="0019444F">
        <w:t>По сравнению с аналогичным</w:t>
      </w:r>
      <w:r>
        <w:t xml:space="preserve"> периодом прошлого года отмечается рост на </w:t>
      </w:r>
      <w:r w:rsidR="0078379E">
        <w:t>66,1</w:t>
      </w:r>
      <w:r>
        <w:t xml:space="preserve"> тыс. рублей. </w:t>
      </w:r>
    </w:p>
    <w:p w14:paraId="5C278BA6" w14:textId="77777777" w:rsidR="0069558C" w:rsidRDefault="0069558C" w:rsidP="0069558C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>
        <w:lastRenderedPageBreak/>
        <w:t>-</w:t>
      </w:r>
      <w:r w:rsidRPr="00042284">
        <w:rPr>
          <w:i/>
        </w:rPr>
        <w:t xml:space="preserve"> </w:t>
      </w:r>
      <w:r>
        <w:rPr>
          <w:i/>
        </w:rPr>
        <w:t xml:space="preserve">доходы от продажи муниципального имущества </w:t>
      </w:r>
      <w:r>
        <w:t xml:space="preserve">поступило 1580 тыс. рублей, при плане 1580 тыс. рублей. Выполнение составило 100%. </w:t>
      </w:r>
    </w:p>
    <w:p w14:paraId="74253EC3" w14:textId="77777777" w:rsidR="00EE2A47" w:rsidRDefault="00594E9A" w:rsidP="00594E9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>
        <w:t>-</w:t>
      </w:r>
      <w:r w:rsidRPr="00042284">
        <w:rPr>
          <w:i/>
        </w:rPr>
        <w:t xml:space="preserve"> </w:t>
      </w:r>
      <w:r>
        <w:rPr>
          <w:i/>
        </w:rPr>
        <w:t xml:space="preserve">доходы от продажи земельных участков </w:t>
      </w:r>
      <w:r>
        <w:t>поступило 2481,1 тыс. рублей, при плане 2400 тыс. рублей (+81,1</w:t>
      </w:r>
      <w:r w:rsidRPr="00CE2916">
        <w:t xml:space="preserve"> </w:t>
      </w:r>
      <w:r>
        <w:t xml:space="preserve">тыс. рублей). </w:t>
      </w:r>
      <w:r w:rsidRPr="001E08F9">
        <w:rPr>
          <w:color w:val="000000" w:themeColor="text1"/>
        </w:rPr>
        <w:t>По сравнению</w:t>
      </w:r>
      <w:r w:rsidRPr="007C54F1">
        <w:rPr>
          <w:color w:val="000000" w:themeColor="text1"/>
        </w:rPr>
        <w:t xml:space="preserve"> с аналогичным пер</w:t>
      </w:r>
      <w:r>
        <w:t xml:space="preserve">иодом прошлого года </w:t>
      </w:r>
      <w:r w:rsidRPr="00AB1631">
        <w:t>наблюдается</w:t>
      </w:r>
      <w:r>
        <w:t xml:space="preserve"> рост </w:t>
      </w:r>
      <w:r w:rsidRPr="006C7ACF">
        <w:t xml:space="preserve">поступлений на </w:t>
      </w:r>
      <w:r>
        <w:t xml:space="preserve">2322,3 тыс. рублей, </w:t>
      </w:r>
      <w:r w:rsidRPr="001E08F9">
        <w:rPr>
          <w:color w:val="000000" w:themeColor="text1"/>
        </w:rPr>
        <w:t xml:space="preserve">в связи </w:t>
      </w:r>
      <w:r>
        <w:rPr>
          <w:color w:val="000000" w:themeColor="text1"/>
        </w:rPr>
        <w:t>с проведением торгов земельных участков</w:t>
      </w:r>
      <w:r w:rsidRPr="001E08F9">
        <w:rPr>
          <w:color w:val="000000" w:themeColor="text1"/>
        </w:rPr>
        <w:t xml:space="preserve"> в текущем отчетном периоде</w:t>
      </w:r>
      <w:r>
        <w:rPr>
          <w:color w:val="000000" w:themeColor="text1"/>
        </w:rPr>
        <w:t xml:space="preserve"> на сумму 1667,2 тыс. рублей, и с продажей земельного участка торгового рынка «Юность» на сумму 352 тыс. рублей.</w:t>
      </w:r>
    </w:p>
    <w:p w14:paraId="53E5A86A" w14:textId="77777777" w:rsidR="00594E9A" w:rsidRDefault="00594E9A" w:rsidP="00594E9A">
      <w:pPr>
        <w:spacing w:line="276" w:lineRule="auto"/>
        <w:jc w:val="both"/>
      </w:pPr>
      <w:r w:rsidRPr="00801700">
        <w:rPr>
          <w:b/>
          <w:i/>
        </w:rPr>
        <w:t xml:space="preserve">       -</w:t>
      </w:r>
      <w:r>
        <w:rPr>
          <w:i/>
        </w:rPr>
        <w:t xml:space="preserve"> д</w:t>
      </w:r>
      <w:r w:rsidRPr="001F6EFA">
        <w:rPr>
          <w:i/>
        </w:rPr>
        <w:t>оходы по штрафам, санкциям, возмещение ущерба</w:t>
      </w:r>
      <w:r w:rsidRPr="001F6EFA">
        <w:t xml:space="preserve"> </w:t>
      </w:r>
      <w:r>
        <w:t>исполнены 111,7</w:t>
      </w:r>
      <w:r w:rsidRPr="001F6EFA">
        <w:t xml:space="preserve">% </w:t>
      </w:r>
      <w:proofErr w:type="gramStart"/>
      <w:r w:rsidRPr="001F6EFA">
        <w:t xml:space="preserve">или  </w:t>
      </w:r>
      <w:r>
        <w:t>448</w:t>
      </w:r>
      <w:proofErr w:type="gramEnd"/>
      <w:r>
        <w:t>,1</w:t>
      </w:r>
      <w:r w:rsidRPr="001F6EFA">
        <w:t xml:space="preserve"> тыс. рублей  при </w:t>
      </w:r>
      <w:r>
        <w:t xml:space="preserve">плане 400 тыс. рублей. </w:t>
      </w:r>
      <w:r w:rsidRPr="001379D5">
        <w:t xml:space="preserve">По сравнению с прошлым годом поступления по штрафам </w:t>
      </w:r>
      <w:r>
        <w:t xml:space="preserve">также снижены на 419,7 </w:t>
      </w:r>
      <w:r w:rsidRPr="001379D5">
        <w:t>тыс. рублей</w:t>
      </w:r>
      <w:r>
        <w:t xml:space="preserve">, в связи с увеличением поступления по штрафам от МВД в 2021 году, в счет погашения задолженности, образовавшейся до 1 января 2022 года на сумму 272 тыс. рублей. </w:t>
      </w:r>
    </w:p>
    <w:p w14:paraId="2C7AC1CD" w14:textId="23DBBDE3" w:rsidR="005748F7" w:rsidRDefault="005748F7" w:rsidP="005748F7">
      <w:pPr>
        <w:spacing w:line="276" w:lineRule="auto"/>
        <w:ind w:firstLine="708"/>
        <w:jc w:val="both"/>
        <w:rPr>
          <w:i/>
        </w:rPr>
      </w:pPr>
      <w:r>
        <w:t>Задолженность родителей перед дошкольными учреждениями города по состоян</w:t>
      </w:r>
      <w:r w:rsidR="00FC2D83">
        <w:t>ию на 01.01.2023</w:t>
      </w:r>
      <w:r>
        <w:t xml:space="preserve"> года</w:t>
      </w:r>
      <w:r w:rsidR="00FC2D83">
        <w:t xml:space="preserve"> по отчетным данным отсутствует</w:t>
      </w:r>
      <w:r>
        <w:t xml:space="preserve">. Начисление за отчетный период </w:t>
      </w:r>
      <w:r w:rsidR="00FC2D83">
        <w:t>составило 28090,3 тыс. рублей, собрано 28728,8</w:t>
      </w:r>
      <w:r>
        <w:t xml:space="preserve"> тыс. рублей. Произведены кассовые расходы по детским дошкольным учреждениям от фактически со</w:t>
      </w:r>
      <w:r w:rsidR="00FC2D83">
        <w:t>бранной суммы в размере 28469,1</w:t>
      </w:r>
      <w:r>
        <w:t xml:space="preserve"> тыс. рублей. По сравнению с начало года задолженность </w:t>
      </w:r>
      <w:r w:rsidR="00FC2D83">
        <w:t>сократилось на 354,7</w:t>
      </w:r>
      <w:r>
        <w:t xml:space="preserve"> тыс. рублей. </w:t>
      </w:r>
      <w:r>
        <w:rPr>
          <w:i/>
        </w:rPr>
        <w:t>(Приложение № 5).</w:t>
      </w:r>
    </w:p>
    <w:p w14:paraId="7C69A066" w14:textId="77777777" w:rsidR="005748F7" w:rsidRDefault="005748F7" w:rsidP="005748F7">
      <w:pPr>
        <w:spacing w:line="276" w:lineRule="auto"/>
        <w:ind w:firstLine="708"/>
        <w:jc w:val="both"/>
      </w:pPr>
      <w:r>
        <w:t>Анализ фактического исполнения платных услуг муниципальных учреждений (</w:t>
      </w:r>
      <w:r>
        <w:rPr>
          <w:i/>
        </w:rPr>
        <w:t>Приложение № 6</w:t>
      </w:r>
      <w:r>
        <w:t>) показал следующее:</w:t>
      </w:r>
    </w:p>
    <w:p w14:paraId="7B3B5B78" w14:textId="768EEF7D" w:rsidR="005748F7" w:rsidRDefault="005748F7" w:rsidP="005748F7">
      <w:pPr>
        <w:spacing w:line="276" w:lineRule="auto"/>
        <w:ind w:firstLine="708"/>
        <w:jc w:val="both"/>
      </w:pPr>
      <w:r>
        <w:t xml:space="preserve">Общий объем платных услуг в </w:t>
      </w:r>
      <w:r w:rsidR="00951386">
        <w:t>целом по городу составил 36213</w:t>
      </w:r>
      <w:r>
        <w:t xml:space="preserve"> тыс. рублей при </w:t>
      </w:r>
      <w:r w:rsidR="00951386">
        <w:t>годовом плане 36513,1</w:t>
      </w:r>
      <w:r>
        <w:t xml:space="preserve"> тыс. рублей, исполнение сост</w:t>
      </w:r>
      <w:r w:rsidR="00951386">
        <w:t>авило 99,2</w:t>
      </w:r>
      <w:r>
        <w:t xml:space="preserve">%. Наибольшую долю по доходам от оказания платных услуг занимают дошкольные учреждения, </w:t>
      </w:r>
      <w:r w:rsidR="00951386">
        <w:t>который составляет 28489,4 тыс. рублей или 77,7</w:t>
      </w:r>
      <w:r>
        <w:t>% от общей суммы платных услуг города. Платные у</w:t>
      </w:r>
      <w:r w:rsidR="00951386">
        <w:t>слуги по школам составили 1613,2</w:t>
      </w:r>
      <w:r>
        <w:t xml:space="preserve"> тыс. рублей, исполнение 87,7%. По внешкольным учреждениям (ДДТ, ЦРТДЮ, ДШИ, ЦО) объ</w:t>
      </w:r>
      <w:r w:rsidR="00951386">
        <w:t>ем платных услуг составили 558,9</w:t>
      </w:r>
      <w:r>
        <w:t xml:space="preserve"> тыс. рублей. По Управлению культуры и МБУК Центральной городской библиотеки </w:t>
      </w:r>
      <w:r w:rsidR="00951386">
        <w:t>исполнение составило 2240,1</w:t>
      </w:r>
      <w:r>
        <w:t xml:space="preserve"> ты</w:t>
      </w:r>
      <w:r w:rsidR="00951386">
        <w:t>с. рублей при годовом плане 2250,9</w:t>
      </w:r>
      <w:r>
        <w:t xml:space="preserve"> тыс. рублей, а по МАУ ПБ "Лазурный" исполнение составило </w:t>
      </w:r>
      <w:r w:rsidR="002011CB">
        <w:t>1144,8</w:t>
      </w:r>
      <w:r>
        <w:t xml:space="preserve"> тыс. рублей ил</w:t>
      </w:r>
      <w:r w:rsidR="002011CB">
        <w:t xml:space="preserve">и 97,7% при годовом плане 1171,4 </w:t>
      </w:r>
      <w:r>
        <w:t xml:space="preserve">тыс. рублей. </w:t>
      </w:r>
    </w:p>
    <w:p w14:paraId="2F30F285" w14:textId="57C69068" w:rsidR="005748F7" w:rsidRPr="00A4406C" w:rsidRDefault="005748F7" w:rsidP="005748F7">
      <w:pPr>
        <w:pStyle w:val="ab"/>
        <w:spacing w:after="0" w:line="276" w:lineRule="auto"/>
        <w:ind w:firstLine="708"/>
        <w:jc w:val="both"/>
        <w:rPr>
          <w:b w:val="0"/>
          <w:color w:val="auto"/>
          <w:sz w:val="28"/>
          <w:szCs w:val="28"/>
        </w:rPr>
      </w:pPr>
      <w:r w:rsidRPr="00A4406C">
        <w:rPr>
          <w:b w:val="0"/>
          <w:color w:val="auto"/>
          <w:sz w:val="28"/>
          <w:szCs w:val="28"/>
        </w:rPr>
        <w:t xml:space="preserve">При распределении собственных </w:t>
      </w:r>
      <w:r w:rsidRPr="00102F89">
        <w:rPr>
          <w:b w:val="0"/>
          <w:color w:val="000000" w:themeColor="text1"/>
          <w:sz w:val="28"/>
          <w:szCs w:val="28"/>
        </w:rPr>
        <w:t xml:space="preserve">доходов </w:t>
      </w:r>
      <w:r w:rsidRPr="00102F89">
        <w:rPr>
          <w:b w:val="0"/>
          <w:i/>
          <w:color w:val="000000" w:themeColor="text1"/>
          <w:sz w:val="28"/>
          <w:szCs w:val="28"/>
        </w:rPr>
        <w:t>(Приложение № 7)</w:t>
      </w:r>
      <w:r>
        <w:rPr>
          <w:b w:val="0"/>
          <w:i/>
          <w:color w:val="000000" w:themeColor="text1"/>
          <w:sz w:val="28"/>
          <w:szCs w:val="28"/>
        </w:rPr>
        <w:t xml:space="preserve"> </w:t>
      </w:r>
      <w:r w:rsidR="002011CB">
        <w:rPr>
          <w:b w:val="0"/>
          <w:color w:val="auto"/>
          <w:sz w:val="28"/>
          <w:szCs w:val="28"/>
        </w:rPr>
        <w:t xml:space="preserve">в сумме 59800,2 </w:t>
      </w:r>
      <w:r w:rsidRPr="00A4406C">
        <w:rPr>
          <w:b w:val="0"/>
          <w:color w:val="auto"/>
          <w:sz w:val="28"/>
          <w:szCs w:val="28"/>
        </w:rPr>
        <w:t>тыс. рублей (с учетом остат</w:t>
      </w:r>
      <w:r>
        <w:rPr>
          <w:b w:val="0"/>
          <w:color w:val="auto"/>
          <w:sz w:val="28"/>
          <w:szCs w:val="28"/>
        </w:rPr>
        <w:t>ка д</w:t>
      </w:r>
      <w:r w:rsidR="002011CB">
        <w:rPr>
          <w:b w:val="0"/>
          <w:color w:val="auto"/>
          <w:sz w:val="28"/>
          <w:szCs w:val="28"/>
        </w:rPr>
        <w:t>енежных средств на 01.01.2022</w:t>
      </w:r>
      <w:r>
        <w:rPr>
          <w:b w:val="0"/>
          <w:color w:val="auto"/>
          <w:sz w:val="28"/>
          <w:szCs w:val="28"/>
        </w:rPr>
        <w:t xml:space="preserve"> года   2389</w:t>
      </w:r>
      <w:r w:rsidRPr="00A4406C">
        <w:rPr>
          <w:b w:val="0"/>
          <w:color w:val="auto"/>
          <w:sz w:val="28"/>
          <w:szCs w:val="28"/>
        </w:rPr>
        <w:t xml:space="preserve"> тыс.  рублей), наибольший удельный вес в</w:t>
      </w:r>
      <w:r w:rsidR="00CA6683">
        <w:rPr>
          <w:b w:val="0"/>
          <w:color w:val="auto"/>
          <w:sz w:val="28"/>
          <w:szCs w:val="28"/>
        </w:rPr>
        <w:t xml:space="preserve"> </w:t>
      </w:r>
      <w:r w:rsidRPr="00A4406C">
        <w:rPr>
          <w:b w:val="0"/>
          <w:color w:val="auto"/>
          <w:sz w:val="28"/>
          <w:szCs w:val="28"/>
        </w:rPr>
        <w:t>финансировании</w:t>
      </w:r>
      <w:r w:rsidR="00CA6683">
        <w:rPr>
          <w:b w:val="0"/>
          <w:color w:val="auto"/>
          <w:sz w:val="28"/>
          <w:szCs w:val="28"/>
        </w:rPr>
        <w:t xml:space="preserve"> </w:t>
      </w:r>
      <w:r w:rsidRPr="00A4406C">
        <w:rPr>
          <w:b w:val="0"/>
          <w:color w:val="auto"/>
          <w:sz w:val="28"/>
          <w:szCs w:val="28"/>
        </w:rPr>
        <w:t>из собственных доходов составля</w:t>
      </w:r>
      <w:r>
        <w:rPr>
          <w:b w:val="0"/>
          <w:color w:val="auto"/>
          <w:sz w:val="28"/>
          <w:szCs w:val="28"/>
        </w:rPr>
        <w:t>ет Управление обра</w:t>
      </w:r>
      <w:r w:rsidR="002011CB">
        <w:rPr>
          <w:b w:val="0"/>
          <w:color w:val="auto"/>
          <w:sz w:val="28"/>
          <w:szCs w:val="28"/>
        </w:rPr>
        <w:t>зования 39,3% в</w:t>
      </w:r>
      <w:r w:rsidR="00CA6683">
        <w:rPr>
          <w:b w:val="0"/>
          <w:color w:val="auto"/>
          <w:sz w:val="28"/>
          <w:szCs w:val="28"/>
        </w:rPr>
        <w:t xml:space="preserve"> </w:t>
      </w:r>
      <w:r w:rsidR="002011CB">
        <w:rPr>
          <w:b w:val="0"/>
          <w:color w:val="auto"/>
          <w:sz w:val="28"/>
          <w:szCs w:val="28"/>
        </w:rPr>
        <w:t>сумме 22553,9</w:t>
      </w:r>
      <w:r>
        <w:rPr>
          <w:b w:val="0"/>
          <w:color w:val="auto"/>
          <w:sz w:val="28"/>
          <w:szCs w:val="28"/>
        </w:rPr>
        <w:t xml:space="preserve"> тыс. рублей, </w:t>
      </w:r>
      <w:r w:rsidR="002011CB">
        <w:rPr>
          <w:b w:val="0"/>
          <w:color w:val="auto"/>
          <w:sz w:val="28"/>
          <w:szCs w:val="28"/>
        </w:rPr>
        <w:t>Администрация 25,4% в сумме 14607,3</w:t>
      </w:r>
      <w:r w:rsidRPr="00A4406C">
        <w:rPr>
          <w:b w:val="0"/>
          <w:color w:val="auto"/>
          <w:sz w:val="28"/>
          <w:szCs w:val="28"/>
        </w:rPr>
        <w:t xml:space="preserve"> тыс. рублей.</w:t>
      </w:r>
    </w:p>
    <w:p w14:paraId="03D4AFC3" w14:textId="77777777" w:rsidR="005748F7" w:rsidRDefault="005748F7" w:rsidP="005748F7">
      <w:pPr>
        <w:spacing w:line="276" w:lineRule="auto"/>
        <w:ind w:firstLine="708"/>
        <w:jc w:val="both"/>
      </w:pPr>
      <w:r>
        <w:lastRenderedPageBreak/>
        <w:t>Из собственных доходов бюджета произведены расходы на оплату комм</w:t>
      </w:r>
      <w:r w:rsidR="00D86938">
        <w:t>унальных услуг в размере 17353,2 тыс. рублей или 30</w:t>
      </w:r>
      <w:r>
        <w:t xml:space="preserve">% от общей суммы расходов, в том числе на оплату услуг </w:t>
      </w:r>
      <w:r w:rsidR="00D86938">
        <w:t>электроэнергии направлено 7666,3</w:t>
      </w:r>
      <w:r>
        <w:t xml:space="preserve"> тыс. рублей, за теплоэнергию</w:t>
      </w:r>
      <w:r w:rsidR="00D86938">
        <w:t xml:space="preserve"> – 7226,4</w:t>
      </w:r>
      <w:r>
        <w:t xml:space="preserve"> тыс. рублей.</w:t>
      </w:r>
    </w:p>
    <w:p w14:paraId="11677E58" w14:textId="1306C2A6" w:rsidR="005748F7" w:rsidRDefault="005748F7" w:rsidP="00594E9A">
      <w:pPr>
        <w:spacing w:line="276" w:lineRule="auto"/>
        <w:jc w:val="both"/>
      </w:pPr>
      <w:r>
        <w:t xml:space="preserve">          Кроме того, произведены расходы: на оплату налогов муниципаль</w:t>
      </w:r>
      <w:r w:rsidR="00D86938">
        <w:t>ных учреждений в сумме 2863,9</w:t>
      </w:r>
      <w:r>
        <w:t xml:space="preserve"> тыс. рублей, р</w:t>
      </w:r>
      <w:r w:rsidR="00D86938">
        <w:t>асходы по благоустройству 6473,5</w:t>
      </w:r>
      <w:r>
        <w:t xml:space="preserve"> ты</w:t>
      </w:r>
      <w:r w:rsidR="00D86938">
        <w:t xml:space="preserve">с. рублей, на услуги связи 1144,9 </w:t>
      </w:r>
      <w:r>
        <w:t xml:space="preserve">тыс. рублей, приобретение </w:t>
      </w:r>
      <w:r w:rsidR="00D86938">
        <w:t>строительных материалов – 2108,8</w:t>
      </w:r>
      <w:r>
        <w:t xml:space="preserve"> тыс. рублей </w:t>
      </w:r>
      <w:r>
        <w:rPr>
          <w:color w:val="000000" w:themeColor="text1"/>
        </w:rPr>
        <w:t xml:space="preserve">на </w:t>
      </w:r>
      <w:r w:rsidR="00D86938">
        <w:rPr>
          <w:color w:val="000000" w:themeColor="text1"/>
        </w:rPr>
        <w:t>ГСМ 1202,7</w:t>
      </w:r>
      <w:r>
        <w:rPr>
          <w:color w:val="000000" w:themeColor="text1"/>
        </w:rPr>
        <w:t xml:space="preserve"> тыс. рублей, и прочие расходы</w:t>
      </w:r>
      <w:r>
        <w:t xml:space="preserve">. </w:t>
      </w:r>
    </w:p>
    <w:p w14:paraId="4A66B9C7" w14:textId="77777777" w:rsidR="003D0E4D" w:rsidRPr="002C373A" w:rsidRDefault="003D0E4D" w:rsidP="003D0E4D">
      <w:pPr>
        <w:spacing w:line="276" w:lineRule="auto"/>
        <w:ind w:firstLine="708"/>
        <w:jc w:val="both"/>
      </w:pPr>
      <w:r w:rsidRPr="00E70A9A">
        <w:t xml:space="preserve">Объем </w:t>
      </w:r>
      <w:r w:rsidRPr="003D0E4D">
        <w:rPr>
          <w:b/>
        </w:rPr>
        <w:t>недоимки</w:t>
      </w:r>
      <w:r w:rsidRPr="002C373A">
        <w:rPr>
          <w:b/>
        </w:rPr>
        <w:t xml:space="preserve"> </w:t>
      </w:r>
      <w:r w:rsidRPr="002C373A">
        <w:t>всех форм собств</w:t>
      </w:r>
      <w:r>
        <w:t xml:space="preserve">енности </w:t>
      </w:r>
      <w:r w:rsidR="00BC19A4">
        <w:rPr>
          <w:i/>
          <w:color w:val="000000" w:themeColor="text1"/>
        </w:rPr>
        <w:t>(Приложение № 8</w:t>
      </w:r>
      <w:r w:rsidR="00BC19A4" w:rsidRPr="00102F89">
        <w:rPr>
          <w:i/>
          <w:color w:val="000000" w:themeColor="text1"/>
        </w:rPr>
        <w:t>)</w:t>
      </w:r>
      <w:r w:rsidR="00BC19A4">
        <w:rPr>
          <w:i/>
          <w:color w:val="000000" w:themeColor="text1"/>
        </w:rPr>
        <w:t xml:space="preserve"> </w:t>
      </w:r>
      <w:r>
        <w:t>по с</w:t>
      </w:r>
      <w:r w:rsidR="00BC19A4">
        <w:t>остоянию на 01.01</w:t>
      </w:r>
      <w:r>
        <w:t>.2</w:t>
      </w:r>
      <w:r w:rsidR="00BC19A4">
        <w:t>3</w:t>
      </w:r>
      <w:r w:rsidRPr="002C373A">
        <w:t xml:space="preserve"> года гор</w:t>
      </w:r>
      <w:r>
        <w:t xml:space="preserve">ода Ак-Довурак составляет </w:t>
      </w:r>
      <w:r w:rsidR="00643EC0">
        <w:t>8510,7</w:t>
      </w:r>
      <w:r w:rsidRPr="002C373A">
        <w:t xml:space="preserve"> тыс. рублей, в том числе:</w:t>
      </w:r>
    </w:p>
    <w:p w14:paraId="61F1EFE4" w14:textId="38D4F030" w:rsidR="003D0E4D" w:rsidRPr="006F094B" w:rsidRDefault="003D0E4D" w:rsidP="003D0E4D">
      <w:pPr>
        <w:spacing w:line="276" w:lineRule="auto"/>
        <w:jc w:val="both"/>
      </w:pPr>
      <w:r>
        <w:t xml:space="preserve">        - </w:t>
      </w:r>
      <w:r w:rsidRPr="00520D02">
        <w:t>п</w:t>
      </w:r>
      <w:r>
        <w:t xml:space="preserve">о юридическим лицам </w:t>
      </w:r>
      <w:r w:rsidR="008A5D5E">
        <w:t>– 2181</w:t>
      </w:r>
      <w:r w:rsidR="00386A6C">
        <w:t>,7</w:t>
      </w:r>
      <w:r w:rsidRPr="006F094B">
        <w:t xml:space="preserve"> тыс. рублей;</w:t>
      </w:r>
    </w:p>
    <w:p w14:paraId="198CED8D" w14:textId="77777777" w:rsidR="003D0E4D" w:rsidRPr="006F094B" w:rsidRDefault="003D0E4D" w:rsidP="003D0E4D">
      <w:pPr>
        <w:spacing w:line="276" w:lineRule="auto"/>
        <w:jc w:val="both"/>
      </w:pPr>
      <w:r w:rsidRPr="006F094B">
        <w:t xml:space="preserve">        </w:t>
      </w:r>
      <w:r>
        <w:t>- и</w:t>
      </w:r>
      <w:r w:rsidRPr="006F094B">
        <w:t>ндивид</w:t>
      </w:r>
      <w:r>
        <w:t xml:space="preserve">уальные предприниматели – </w:t>
      </w:r>
      <w:r w:rsidR="008A5D5E">
        <w:t>126,8</w:t>
      </w:r>
      <w:r w:rsidRPr="006F094B">
        <w:t xml:space="preserve"> тыс. рублей;</w:t>
      </w:r>
    </w:p>
    <w:p w14:paraId="4E81E707" w14:textId="77777777" w:rsidR="003D0E4D" w:rsidRPr="006F094B" w:rsidRDefault="003D0E4D" w:rsidP="003D0E4D">
      <w:pPr>
        <w:spacing w:line="276" w:lineRule="auto"/>
        <w:jc w:val="both"/>
      </w:pPr>
      <w:r w:rsidRPr="006F094B">
        <w:t xml:space="preserve">        </w:t>
      </w:r>
      <w:r>
        <w:t>- и</w:t>
      </w:r>
      <w:r w:rsidRPr="006F094B">
        <w:t xml:space="preserve">мущественные </w:t>
      </w:r>
      <w:r>
        <w:t xml:space="preserve">налоги физических лиц – </w:t>
      </w:r>
      <w:r w:rsidR="00386A6C">
        <w:t>6202</w:t>
      </w:r>
      <w:r w:rsidRPr="006F094B">
        <w:t xml:space="preserve"> тыс. рублей.</w:t>
      </w:r>
    </w:p>
    <w:p w14:paraId="6888E935" w14:textId="77777777" w:rsidR="003D0E4D" w:rsidRDefault="003D0E4D" w:rsidP="003D0E4D">
      <w:pPr>
        <w:spacing w:line="276" w:lineRule="auto"/>
        <w:jc w:val="both"/>
      </w:pPr>
      <w:r w:rsidRPr="002C373A">
        <w:t xml:space="preserve">        По сравнению с прошлым годом н</w:t>
      </w:r>
      <w:r w:rsidR="00386A6C">
        <w:t>аблюдается рост</w:t>
      </w:r>
      <w:r>
        <w:t xml:space="preserve"> недоимки на </w:t>
      </w:r>
      <w:r w:rsidR="00643EC0">
        <w:t>51,4</w:t>
      </w:r>
      <w:r w:rsidRPr="00386A6C">
        <w:t xml:space="preserve"> тыс</w:t>
      </w:r>
      <w:r w:rsidRPr="002C373A">
        <w:t>. рублей</w:t>
      </w:r>
      <w:r>
        <w:t>, в том числе:</w:t>
      </w:r>
    </w:p>
    <w:p w14:paraId="67678525" w14:textId="77777777" w:rsidR="003D0E4D" w:rsidRDefault="003D0E4D" w:rsidP="003D0E4D">
      <w:pPr>
        <w:spacing w:line="276" w:lineRule="auto"/>
        <w:jc w:val="both"/>
      </w:pPr>
      <w:r>
        <w:t xml:space="preserve"> </w:t>
      </w:r>
      <w:r w:rsidR="00134D8E">
        <w:t xml:space="preserve"> - по юридическим лицам рост</w:t>
      </w:r>
      <w:r>
        <w:t xml:space="preserve"> на </w:t>
      </w:r>
      <w:r w:rsidR="00386A6C">
        <w:t>429,1</w:t>
      </w:r>
      <w:r>
        <w:t xml:space="preserve"> тыс. рублей;</w:t>
      </w:r>
    </w:p>
    <w:p w14:paraId="096BD60E" w14:textId="77777777" w:rsidR="003D0E4D" w:rsidRDefault="003D0E4D" w:rsidP="003D0E4D">
      <w:pPr>
        <w:spacing w:line="276" w:lineRule="auto"/>
        <w:jc w:val="both"/>
      </w:pPr>
      <w:r>
        <w:t xml:space="preserve">   - по индивидуальным предпринимателям снижение на </w:t>
      </w:r>
      <w:r w:rsidR="00386A6C">
        <w:t>1217,2</w:t>
      </w:r>
      <w:r>
        <w:t xml:space="preserve"> тыс. рублей;</w:t>
      </w:r>
    </w:p>
    <w:p w14:paraId="08FF82FF" w14:textId="77777777" w:rsidR="003D0E4D" w:rsidRDefault="00386A6C" w:rsidP="003D0E4D">
      <w:pPr>
        <w:spacing w:line="276" w:lineRule="auto"/>
        <w:jc w:val="both"/>
      </w:pPr>
      <w:r>
        <w:t xml:space="preserve">  - по физическим лицам рост на 839,3</w:t>
      </w:r>
      <w:r w:rsidR="003D0E4D">
        <w:t xml:space="preserve"> тыс. рублей.</w:t>
      </w:r>
    </w:p>
    <w:p w14:paraId="4D51350C" w14:textId="77777777" w:rsidR="003D0E4D" w:rsidRDefault="003D0E4D" w:rsidP="003D0E4D">
      <w:pPr>
        <w:spacing w:line="276" w:lineRule="auto"/>
        <w:ind w:firstLine="708"/>
        <w:jc w:val="both"/>
      </w:pPr>
      <w:r w:rsidRPr="009837BB">
        <w:t xml:space="preserve">По имущественным налогам </w:t>
      </w:r>
      <w:r w:rsidR="00386A6C">
        <w:t>физических л</w:t>
      </w:r>
      <w:r w:rsidR="00643EC0">
        <w:t>иц недоимка на 01.01.2023</w:t>
      </w:r>
      <w:r w:rsidRPr="009837BB">
        <w:t xml:space="preserve"> г. </w:t>
      </w:r>
      <w:r w:rsidR="00386A6C">
        <w:t>составляет 6202</w:t>
      </w:r>
      <w:r w:rsidRPr="009837BB">
        <w:t xml:space="preserve"> тыс. рублей, в том числе:</w:t>
      </w:r>
    </w:p>
    <w:p w14:paraId="3F6CE0FB" w14:textId="77777777" w:rsidR="003D0E4D" w:rsidRPr="009837BB" w:rsidRDefault="003D0E4D" w:rsidP="003D0E4D">
      <w:pPr>
        <w:jc w:val="both"/>
      </w:pPr>
      <w:r w:rsidRPr="009837BB">
        <w:rPr>
          <w:i/>
        </w:rPr>
        <w:t>- по налогу на</w:t>
      </w:r>
      <w:r w:rsidR="00386A6C">
        <w:rPr>
          <w:i/>
        </w:rPr>
        <w:t xml:space="preserve"> имущество физических лиц 1718</w:t>
      </w:r>
      <w:r w:rsidRPr="009837BB">
        <w:rPr>
          <w:i/>
        </w:rPr>
        <w:t xml:space="preserve"> тыс. рублей;</w:t>
      </w:r>
    </w:p>
    <w:p w14:paraId="4EFFCBEF" w14:textId="77777777" w:rsidR="003D0E4D" w:rsidRPr="009837BB" w:rsidRDefault="003D0E4D" w:rsidP="003D0E4D">
      <w:pPr>
        <w:jc w:val="both"/>
        <w:rPr>
          <w:i/>
        </w:rPr>
      </w:pPr>
      <w:r w:rsidRPr="009837BB">
        <w:rPr>
          <w:i/>
        </w:rPr>
        <w:t xml:space="preserve"> - по земел</w:t>
      </w:r>
      <w:r>
        <w:rPr>
          <w:i/>
        </w:rPr>
        <w:t>ь</w:t>
      </w:r>
      <w:r w:rsidR="00386A6C">
        <w:rPr>
          <w:i/>
        </w:rPr>
        <w:t>ному налогу физических лиц 661,4</w:t>
      </w:r>
      <w:r w:rsidRPr="009837BB">
        <w:rPr>
          <w:i/>
        </w:rPr>
        <w:t xml:space="preserve"> тыс. рублей;</w:t>
      </w:r>
    </w:p>
    <w:p w14:paraId="463F65FE" w14:textId="77777777" w:rsidR="003D0E4D" w:rsidRDefault="003D0E4D" w:rsidP="003D0E4D">
      <w:pPr>
        <w:jc w:val="both"/>
      </w:pPr>
      <w:r w:rsidRPr="009837BB">
        <w:rPr>
          <w:i/>
        </w:rPr>
        <w:t xml:space="preserve"> - по транспортному налогу физических лиц </w:t>
      </w:r>
      <w:r w:rsidR="00386A6C">
        <w:rPr>
          <w:i/>
        </w:rPr>
        <w:t>3822,5</w:t>
      </w:r>
      <w:r w:rsidRPr="009837BB">
        <w:rPr>
          <w:i/>
        </w:rPr>
        <w:t xml:space="preserve"> тыс. рублей</w:t>
      </w:r>
    </w:p>
    <w:p w14:paraId="093896C5" w14:textId="77777777" w:rsidR="003D0E4D" w:rsidRDefault="003D0E4D" w:rsidP="003D0E4D">
      <w:pPr>
        <w:jc w:val="both"/>
      </w:pPr>
    </w:p>
    <w:p w14:paraId="5AFCC0B5" w14:textId="77777777" w:rsidR="003D0E4D" w:rsidRPr="0007472B" w:rsidRDefault="003D0E4D" w:rsidP="003D0E4D">
      <w:pPr>
        <w:jc w:val="center"/>
        <w:rPr>
          <w:b/>
          <w:i/>
        </w:rPr>
      </w:pPr>
      <w:r w:rsidRPr="0007472B">
        <w:rPr>
          <w:b/>
          <w:i/>
        </w:rPr>
        <w:t>Динами</w:t>
      </w:r>
      <w:r>
        <w:rPr>
          <w:b/>
          <w:i/>
        </w:rPr>
        <w:t>ка    изменения   недоимки   по</w:t>
      </w:r>
      <w:r w:rsidRPr="0007472B">
        <w:rPr>
          <w:b/>
          <w:i/>
        </w:rPr>
        <w:t xml:space="preserve"> имущественным налогам  </w:t>
      </w:r>
    </w:p>
    <w:p w14:paraId="2D79C1FD" w14:textId="77777777" w:rsidR="003D0E4D" w:rsidRPr="0007472B" w:rsidRDefault="003D0E4D" w:rsidP="003D0E4D">
      <w:pPr>
        <w:jc w:val="center"/>
        <w:rPr>
          <w:b/>
          <w:i/>
        </w:rPr>
      </w:pPr>
      <w:r w:rsidRPr="0007472B">
        <w:rPr>
          <w:b/>
          <w:i/>
        </w:rPr>
        <w:t xml:space="preserve">физических лиц </w:t>
      </w:r>
      <w:r>
        <w:rPr>
          <w:b/>
          <w:i/>
        </w:rPr>
        <w:t xml:space="preserve">городского округа г. Ак-Довурак за </w:t>
      </w:r>
      <w:r w:rsidRPr="0007472B">
        <w:rPr>
          <w:b/>
          <w:i/>
        </w:rPr>
        <w:t>2021</w:t>
      </w:r>
      <w:r w:rsidR="00CC2584">
        <w:rPr>
          <w:b/>
          <w:i/>
        </w:rPr>
        <w:t>-2022</w:t>
      </w:r>
      <w:r w:rsidRPr="0007472B">
        <w:rPr>
          <w:b/>
          <w:i/>
        </w:rPr>
        <w:t xml:space="preserve"> г.   </w:t>
      </w:r>
    </w:p>
    <w:p w14:paraId="3313BF68" w14:textId="77777777" w:rsidR="003D0E4D" w:rsidRPr="00FF31DA" w:rsidRDefault="003D0E4D" w:rsidP="003D0E4D">
      <w:pPr>
        <w:rPr>
          <w:b/>
          <w:sz w:val="20"/>
          <w:szCs w:val="20"/>
        </w:rPr>
      </w:pPr>
    </w:p>
    <w:p w14:paraId="17A2D0FA" w14:textId="77777777" w:rsidR="003D0E4D" w:rsidRPr="00A87B0E" w:rsidRDefault="003D0E4D" w:rsidP="003D0E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(</w:t>
      </w:r>
      <w:r w:rsidRPr="00A87B0E">
        <w:rPr>
          <w:b/>
          <w:sz w:val="20"/>
          <w:szCs w:val="20"/>
        </w:rPr>
        <w:t>тыс. рублей)</w:t>
      </w:r>
    </w:p>
    <w:tbl>
      <w:tblPr>
        <w:tblpPr w:leftFromText="180" w:rightFromText="180" w:vertAnchor="text" w:horzAnchor="margin" w:tblpXSpec="center" w:tblpY="207"/>
        <w:tblW w:w="9611" w:type="dxa"/>
        <w:tblLook w:val="04A0" w:firstRow="1" w:lastRow="0" w:firstColumn="1" w:lastColumn="0" w:noHBand="0" w:noVBand="1"/>
      </w:tblPr>
      <w:tblGrid>
        <w:gridCol w:w="548"/>
        <w:gridCol w:w="3104"/>
        <w:gridCol w:w="1985"/>
        <w:gridCol w:w="1842"/>
        <w:gridCol w:w="1167"/>
        <w:gridCol w:w="965"/>
      </w:tblGrid>
      <w:tr w:rsidR="003D0E4D" w:rsidRPr="0007472B" w14:paraId="52AD4660" w14:textId="77777777" w:rsidTr="00E73645">
        <w:trPr>
          <w:trHeight w:val="54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5C37B247" w14:textId="77777777" w:rsidR="003D0E4D" w:rsidRPr="00AC39B8" w:rsidRDefault="003D0E4D" w:rsidP="00E7364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AC39B8">
              <w:rPr>
                <w:b/>
                <w:i/>
                <w:color w:val="000000"/>
                <w:sz w:val="24"/>
                <w:szCs w:val="24"/>
              </w:rPr>
              <w:t>номер  п</w:t>
            </w:r>
            <w:proofErr w:type="gramEnd"/>
            <w:r w:rsidRPr="00AC39B8">
              <w:rPr>
                <w:b/>
                <w:i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BF351E" w14:textId="77777777" w:rsidR="003D0E4D" w:rsidRPr="00AC39B8" w:rsidRDefault="003D0E4D" w:rsidP="00E7364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C39B8">
              <w:rPr>
                <w:b/>
                <w:i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565AC3F" w14:textId="77777777" w:rsidR="003D0E4D" w:rsidRPr="00AC39B8" w:rsidRDefault="003D0E4D" w:rsidP="00E7364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C39B8">
              <w:rPr>
                <w:b/>
                <w:i/>
                <w:color w:val="000000"/>
                <w:sz w:val="24"/>
                <w:szCs w:val="24"/>
              </w:rPr>
              <w:t>Недоимка, всего: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688DB963" w14:textId="77777777" w:rsidR="003D0E4D" w:rsidRPr="00AC39B8" w:rsidRDefault="003D0E4D" w:rsidP="00E7364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C39B8">
              <w:rPr>
                <w:b/>
                <w:i/>
                <w:color w:val="000000"/>
                <w:sz w:val="24"/>
                <w:szCs w:val="24"/>
              </w:rPr>
              <w:t>(+) увел. (-) умен.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200DF644" w14:textId="77777777" w:rsidR="003D0E4D" w:rsidRPr="00AC39B8" w:rsidRDefault="003D0E4D" w:rsidP="00E7364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C39B8">
              <w:rPr>
                <w:b/>
                <w:i/>
                <w:color w:val="000000"/>
                <w:sz w:val="24"/>
                <w:szCs w:val="24"/>
              </w:rPr>
              <w:t xml:space="preserve">темп роста </w:t>
            </w:r>
            <w:proofErr w:type="gramStart"/>
            <w:r w:rsidRPr="00AC39B8">
              <w:rPr>
                <w:b/>
                <w:i/>
                <w:color w:val="000000"/>
                <w:sz w:val="24"/>
                <w:szCs w:val="24"/>
              </w:rPr>
              <w:t>( &gt;</w:t>
            </w:r>
            <w:proofErr w:type="gramEnd"/>
            <w:r w:rsidRPr="00AC39B8">
              <w:rPr>
                <w:b/>
                <w:i/>
                <w:color w:val="000000"/>
                <w:sz w:val="24"/>
                <w:szCs w:val="24"/>
              </w:rPr>
              <w:t>1), снижения (&lt;1)</w:t>
            </w:r>
          </w:p>
        </w:tc>
      </w:tr>
      <w:tr w:rsidR="003D0E4D" w:rsidRPr="0007472B" w14:paraId="7AF3E789" w14:textId="77777777" w:rsidTr="00E73645">
        <w:trPr>
          <w:trHeight w:val="85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1A924" w14:textId="77777777" w:rsidR="003D0E4D" w:rsidRPr="00AC39B8" w:rsidRDefault="003D0E4D" w:rsidP="00E73645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2A2DF" w14:textId="77777777" w:rsidR="003D0E4D" w:rsidRPr="00AC39B8" w:rsidRDefault="003D0E4D" w:rsidP="00E73645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BDF01DB" w14:textId="77777777" w:rsidR="003D0E4D" w:rsidRPr="00AC39B8" w:rsidRDefault="003D0E4D" w:rsidP="00E73645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6F4EA" w14:textId="77777777" w:rsidR="003D0E4D" w:rsidRPr="00AC39B8" w:rsidRDefault="003D0E4D" w:rsidP="00E736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EA45A" w14:textId="77777777" w:rsidR="003D0E4D" w:rsidRPr="00AC39B8" w:rsidRDefault="003D0E4D" w:rsidP="00E73645">
            <w:pPr>
              <w:rPr>
                <w:color w:val="000000"/>
                <w:sz w:val="24"/>
                <w:szCs w:val="24"/>
              </w:rPr>
            </w:pPr>
          </w:p>
        </w:tc>
      </w:tr>
      <w:tr w:rsidR="003D0E4D" w:rsidRPr="0007472B" w14:paraId="4B3F8233" w14:textId="77777777" w:rsidTr="00E73645">
        <w:trPr>
          <w:trHeight w:val="5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6609C" w14:textId="77777777" w:rsidR="003D0E4D" w:rsidRPr="00AC39B8" w:rsidRDefault="003D0E4D" w:rsidP="00E73645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54BF6" w14:textId="77777777" w:rsidR="003D0E4D" w:rsidRPr="00AC39B8" w:rsidRDefault="003D0E4D" w:rsidP="00E73645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300FFC" w14:textId="77777777" w:rsidR="003D0E4D" w:rsidRPr="00AC39B8" w:rsidRDefault="008A5D5E" w:rsidP="00E7364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01.01.2022</w:t>
            </w:r>
            <w:r w:rsidR="003D0E4D" w:rsidRPr="00AC39B8">
              <w:rPr>
                <w:b/>
                <w:i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E1F470" w14:textId="77777777" w:rsidR="003D0E4D" w:rsidRPr="00AC39B8" w:rsidRDefault="001900AB" w:rsidP="00A46130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01.01</w:t>
            </w:r>
            <w:r w:rsidR="008A5D5E">
              <w:rPr>
                <w:b/>
                <w:i/>
                <w:color w:val="000000"/>
                <w:sz w:val="24"/>
                <w:szCs w:val="24"/>
              </w:rPr>
              <w:t>.202</w:t>
            </w:r>
            <w:r>
              <w:rPr>
                <w:b/>
                <w:i/>
                <w:color w:val="000000"/>
                <w:sz w:val="24"/>
                <w:szCs w:val="24"/>
              </w:rPr>
              <w:t>3</w:t>
            </w:r>
            <w:r w:rsidR="003D0E4D" w:rsidRPr="00AC39B8">
              <w:rPr>
                <w:b/>
                <w:i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B47E1" w14:textId="77777777" w:rsidR="003D0E4D" w:rsidRPr="00AC39B8" w:rsidRDefault="003D0E4D" w:rsidP="00E736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14F64" w14:textId="77777777" w:rsidR="003D0E4D" w:rsidRPr="00AC39B8" w:rsidRDefault="003D0E4D" w:rsidP="00E73645">
            <w:pPr>
              <w:rPr>
                <w:color w:val="000000"/>
                <w:sz w:val="24"/>
                <w:szCs w:val="24"/>
              </w:rPr>
            </w:pPr>
          </w:p>
        </w:tc>
      </w:tr>
      <w:tr w:rsidR="008A5D5E" w:rsidRPr="0007472B" w14:paraId="589AF107" w14:textId="77777777" w:rsidTr="00E73645">
        <w:trPr>
          <w:trHeight w:val="56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2B452" w14:textId="77777777" w:rsidR="008A5D5E" w:rsidRPr="00AC39B8" w:rsidRDefault="008A5D5E" w:rsidP="008A5D5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C39B8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C86CD" w14:textId="77777777" w:rsidR="008A5D5E" w:rsidRPr="00AC39B8" w:rsidRDefault="008A5D5E" w:rsidP="008A5D5E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н</w:t>
            </w:r>
            <w:r w:rsidRPr="00AC39B8">
              <w:rPr>
                <w:bCs/>
                <w:i/>
                <w:color w:val="000000"/>
                <w:sz w:val="24"/>
                <w:szCs w:val="24"/>
              </w:rPr>
              <w:t>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C5E95" w14:textId="77777777" w:rsidR="008A5D5E" w:rsidRPr="00AC39B8" w:rsidRDefault="008A5D5E" w:rsidP="008A5D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55A8F" w14:textId="77777777" w:rsidR="008A5D5E" w:rsidRPr="00AC39B8" w:rsidRDefault="00CC2584" w:rsidP="008A5D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01763" w14:textId="77777777" w:rsidR="008A5D5E" w:rsidRPr="00AC39B8" w:rsidRDefault="008A5D5E" w:rsidP="008A5D5E">
            <w:pPr>
              <w:jc w:val="center"/>
              <w:rPr>
                <w:color w:val="000000"/>
                <w:sz w:val="24"/>
                <w:szCs w:val="24"/>
              </w:rPr>
            </w:pPr>
            <w:r w:rsidRPr="00AC39B8">
              <w:rPr>
                <w:color w:val="000000"/>
                <w:sz w:val="24"/>
                <w:szCs w:val="24"/>
              </w:rPr>
              <w:t>-</w:t>
            </w:r>
            <w:r w:rsidR="00CC2584">
              <w:rPr>
                <w:color w:val="000000"/>
                <w:sz w:val="24"/>
                <w:szCs w:val="24"/>
              </w:rPr>
              <w:t>56,3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DF91E" w14:textId="77777777" w:rsidR="008A5D5E" w:rsidRPr="00AC39B8" w:rsidRDefault="008A5D5E" w:rsidP="008A5D5E">
            <w:pPr>
              <w:jc w:val="center"/>
              <w:rPr>
                <w:color w:val="000000"/>
                <w:sz w:val="24"/>
                <w:szCs w:val="24"/>
              </w:rPr>
            </w:pPr>
            <w:r w:rsidRPr="00AC39B8">
              <w:rPr>
                <w:color w:val="000000"/>
                <w:sz w:val="24"/>
                <w:szCs w:val="24"/>
              </w:rPr>
              <w:t>0,</w:t>
            </w:r>
            <w:r w:rsidR="00CC2584">
              <w:rPr>
                <w:color w:val="000000"/>
                <w:sz w:val="24"/>
                <w:szCs w:val="24"/>
              </w:rPr>
              <w:t>9</w:t>
            </w:r>
          </w:p>
        </w:tc>
      </w:tr>
      <w:tr w:rsidR="008A5D5E" w:rsidRPr="0007472B" w14:paraId="24E9FFFE" w14:textId="77777777" w:rsidTr="00E73645">
        <w:trPr>
          <w:trHeight w:val="32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D806B" w14:textId="77777777" w:rsidR="008A5D5E" w:rsidRPr="00AC39B8" w:rsidRDefault="008A5D5E" w:rsidP="008A5D5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C39B8"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471C5" w14:textId="77777777" w:rsidR="008A5D5E" w:rsidRPr="00AC39B8" w:rsidRDefault="008A5D5E" w:rsidP="008A5D5E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т</w:t>
            </w:r>
            <w:r w:rsidRPr="00AC39B8">
              <w:rPr>
                <w:bCs/>
                <w:i/>
                <w:color w:val="000000"/>
                <w:sz w:val="24"/>
                <w:szCs w:val="24"/>
              </w:rPr>
              <w:t>ранспортный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D77CC" w14:textId="77777777" w:rsidR="008A5D5E" w:rsidRPr="00AC39B8" w:rsidRDefault="008A5D5E" w:rsidP="008A5D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98FCC" w14:textId="77777777" w:rsidR="008A5D5E" w:rsidRPr="00AC39B8" w:rsidRDefault="00CC2584" w:rsidP="008A5D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3822,5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E51EA" w14:textId="77777777" w:rsidR="008A5D5E" w:rsidRPr="00AC39B8" w:rsidRDefault="008A5D5E" w:rsidP="008A5D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="00CC2584">
              <w:rPr>
                <w:color w:val="000000"/>
                <w:sz w:val="24"/>
                <w:szCs w:val="24"/>
              </w:rPr>
              <w:t>810,3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94F75" w14:textId="77777777" w:rsidR="008A5D5E" w:rsidRPr="00AC39B8" w:rsidRDefault="008A5D5E" w:rsidP="008A5D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CC2584">
              <w:rPr>
                <w:color w:val="000000"/>
                <w:sz w:val="24"/>
                <w:szCs w:val="24"/>
              </w:rPr>
              <w:t>3</w:t>
            </w:r>
          </w:p>
        </w:tc>
      </w:tr>
      <w:tr w:rsidR="008A5D5E" w:rsidRPr="0007472B" w14:paraId="2DD36653" w14:textId="77777777" w:rsidTr="00E73645">
        <w:trPr>
          <w:trHeight w:val="36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E6780" w14:textId="77777777" w:rsidR="008A5D5E" w:rsidRPr="00AC39B8" w:rsidRDefault="008A5D5E" w:rsidP="008A5D5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C39B8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56422" w14:textId="77777777" w:rsidR="008A5D5E" w:rsidRPr="00AC39B8" w:rsidRDefault="008A5D5E" w:rsidP="008A5D5E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з</w:t>
            </w:r>
            <w:r w:rsidRPr="00AC39B8">
              <w:rPr>
                <w:bCs/>
                <w:i/>
                <w:color w:val="000000"/>
                <w:sz w:val="24"/>
                <w:szCs w:val="24"/>
              </w:rPr>
              <w:t>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F1C87" w14:textId="77777777" w:rsidR="008A5D5E" w:rsidRPr="00AC39B8" w:rsidRDefault="008A5D5E" w:rsidP="008A5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65F61" w14:textId="77777777" w:rsidR="008A5D5E" w:rsidRPr="00AC39B8" w:rsidRDefault="00CC2584" w:rsidP="008A5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5DB4A" w14:textId="77777777" w:rsidR="008A5D5E" w:rsidRPr="00AC39B8" w:rsidRDefault="00CC2584" w:rsidP="008A5D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+85,3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A7190" w14:textId="77777777" w:rsidR="008A5D5E" w:rsidRPr="00AC39B8" w:rsidRDefault="00CC2584" w:rsidP="008A5D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</w:t>
            </w:r>
            <w:r w:rsidR="008A5D5E" w:rsidRPr="00AC39B8">
              <w:rPr>
                <w:color w:val="000000"/>
                <w:sz w:val="24"/>
                <w:szCs w:val="24"/>
              </w:rPr>
              <w:t>,</w:t>
            </w:r>
            <w:r w:rsidR="008A5D5E">
              <w:rPr>
                <w:color w:val="000000"/>
                <w:sz w:val="24"/>
                <w:szCs w:val="24"/>
              </w:rPr>
              <w:t>1</w:t>
            </w:r>
          </w:p>
        </w:tc>
      </w:tr>
      <w:tr w:rsidR="008A5D5E" w:rsidRPr="0007472B" w14:paraId="2EC487FC" w14:textId="77777777" w:rsidTr="00E73645">
        <w:trPr>
          <w:trHeight w:val="31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93CCB" w14:textId="77777777" w:rsidR="008A5D5E" w:rsidRPr="00AC39B8" w:rsidRDefault="008A5D5E" w:rsidP="008A5D5E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0BE4" w14:textId="77777777" w:rsidR="008A5D5E" w:rsidRPr="00AC39B8" w:rsidRDefault="008A5D5E" w:rsidP="008A5D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C39B8">
              <w:rPr>
                <w:b/>
                <w:bCs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B02FE" w14:textId="77777777" w:rsidR="008A5D5E" w:rsidRPr="00AC39B8" w:rsidRDefault="008A5D5E" w:rsidP="008A5D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EA9F6" w14:textId="77777777" w:rsidR="008A5D5E" w:rsidRPr="00AC39B8" w:rsidRDefault="00CC2584" w:rsidP="008A5D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AF41F" w14:textId="77777777" w:rsidR="008A5D5E" w:rsidRPr="00AC39B8" w:rsidRDefault="00CC2584" w:rsidP="008A5D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+839,3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4141D" w14:textId="77777777" w:rsidR="008A5D5E" w:rsidRPr="00AC39B8" w:rsidRDefault="00CC2584" w:rsidP="008A5D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8A5D5E" w:rsidRPr="00AC39B8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</w:tbl>
    <w:p w14:paraId="44A19428" w14:textId="77777777" w:rsidR="003D0E4D" w:rsidRPr="00EE0DED" w:rsidRDefault="003D0E4D" w:rsidP="003D0E4D">
      <w:pPr>
        <w:spacing w:line="276" w:lineRule="auto"/>
        <w:jc w:val="both"/>
      </w:pPr>
    </w:p>
    <w:p w14:paraId="05BD928F" w14:textId="5C0F3EB9" w:rsidR="003D0E4D" w:rsidRPr="0007472B" w:rsidRDefault="008A5D5E" w:rsidP="003D0E4D">
      <w:pPr>
        <w:autoSpaceDE w:val="0"/>
        <w:autoSpaceDN w:val="0"/>
        <w:adjustRightInd w:val="0"/>
        <w:spacing w:line="276" w:lineRule="auto"/>
        <w:jc w:val="both"/>
      </w:pPr>
      <w:r>
        <w:t xml:space="preserve">      По сравнению с 01.01.2022</w:t>
      </w:r>
      <w:r w:rsidR="003D0E4D" w:rsidRPr="0007472B">
        <w:t xml:space="preserve"> года недоимка по имущественны</w:t>
      </w:r>
      <w:r w:rsidR="00CC2584">
        <w:t>м налогам физических лиц увеличилось</w:t>
      </w:r>
      <w:r w:rsidR="003D0E4D" w:rsidRPr="0007472B">
        <w:t xml:space="preserve"> на</w:t>
      </w:r>
      <w:r w:rsidR="00BC7F3D">
        <w:t xml:space="preserve"> 15,6%, или на 839,3</w:t>
      </w:r>
      <w:r w:rsidR="003D0E4D" w:rsidRPr="0007472B">
        <w:t xml:space="preserve"> тыс. рублей, в том числе:</w:t>
      </w:r>
    </w:p>
    <w:p w14:paraId="54AC2B20" w14:textId="77777777" w:rsidR="003D0E4D" w:rsidRDefault="003D0E4D" w:rsidP="003D0E4D">
      <w:pPr>
        <w:autoSpaceDE w:val="0"/>
        <w:autoSpaceDN w:val="0"/>
        <w:adjustRightInd w:val="0"/>
        <w:spacing w:line="276" w:lineRule="auto"/>
        <w:ind w:left="405"/>
        <w:jc w:val="both"/>
      </w:pPr>
      <w:r w:rsidRPr="0007472B">
        <w:t>- по налогу на имущество ФЛ снижение на</w:t>
      </w:r>
      <w:r w:rsidR="00BC7F3D">
        <w:t xml:space="preserve"> 3% (-56,3</w:t>
      </w:r>
      <w:r w:rsidRPr="0007472B">
        <w:t xml:space="preserve"> тыс. рублей</w:t>
      </w:r>
      <w:r>
        <w:t>)</w:t>
      </w:r>
      <w:r w:rsidRPr="0007472B">
        <w:t xml:space="preserve">;     </w:t>
      </w:r>
    </w:p>
    <w:p w14:paraId="6BFF46C9" w14:textId="77777777" w:rsidR="003D0E4D" w:rsidRPr="0007472B" w:rsidRDefault="003D0E4D" w:rsidP="003D0E4D">
      <w:pPr>
        <w:autoSpaceDE w:val="0"/>
        <w:autoSpaceDN w:val="0"/>
        <w:adjustRightInd w:val="0"/>
        <w:spacing w:line="276" w:lineRule="auto"/>
        <w:ind w:left="405"/>
        <w:jc w:val="both"/>
      </w:pPr>
      <w:r w:rsidRPr="0007472B">
        <w:t>- по транспортному н</w:t>
      </w:r>
      <w:r>
        <w:t>алогу ФЛ рост</w:t>
      </w:r>
      <w:r w:rsidRPr="0007472B">
        <w:t xml:space="preserve"> на </w:t>
      </w:r>
      <w:r w:rsidR="00BC7F3D">
        <w:t>26,9</w:t>
      </w:r>
      <w:r w:rsidRPr="0007472B">
        <w:t xml:space="preserve">% </w:t>
      </w:r>
      <w:r w:rsidR="00BC7F3D">
        <w:t>(+810,3</w:t>
      </w:r>
      <w:r w:rsidRPr="0007472B">
        <w:t xml:space="preserve"> тыс. рублей</w:t>
      </w:r>
      <w:r>
        <w:t>)</w:t>
      </w:r>
      <w:r w:rsidRPr="0007472B">
        <w:t xml:space="preserve">; </w:t>
      </w:r>
    </w:p>
    <w:p w14:paraId="3B4B76E5" w14:textId="77777777" w:rsidR="003D0E4D" w:rsidRDefault="003D0E4D" w:rsidP="003D0E4D">
      <w:pPr>
        <w:autoSpaceDE w:val="0"/>
        <w:autoSpaceDN w:val="0"/>
        <w:adjustRightInd w:val="0"/>
        <w:spacing w:line="276" w:lineRule="auto"/>
        <w:ind w:left="405"/>
        <w:jc w:val="both"/>
      </w:pPr>
      <w:r w:rsidRPr="0007472B">
        <w:t>- по земельному налогу ФЛ</w:t>
      </w:r>
      <w:r w:rsidR="00BC7F3D">
        <w:t xml:space="preserve"> рост</w:t>
      </w:r>
      <w:r w:rsidRPr="0007472B">
        <w:t xml:space="preserve"> на </w:t>
      </w:r>
      <w:r w:rsidR="00BC7F3D">
        <w:t>85,3 тыс. рублей или на 14,8</w:t>
      </w:r>
      <w:r w:rsidRPr="0007472B">
        <w:t>%.</w:t>
      </w:r>
    </w:p>
    <w:p w14:paraId="591CFBFE" w14:textId="77777777" w:rsidR="003D0E4D" w:rsidRDefault="003D0E4D" w:rsidP="003D0E4D">
      <w:pPr>
        <w:tabs>
          <w:tab w:val="left" w:pos="3750"/>
        </w:tabs>
        <w:jc w:val="both"/>
      </w:pPr>
      <w:r>
        <w:tab/>
      </w:r>
    </w:p>
    <w:p w14:paraId="7BD91454" w14:textId="77777777" w:rsidR="001020FB" w:rsidRPr="00232BA0" w:rsidRDefault="001020FB" w:rsidP="001020FB">
      <w:pPr>
        <w:spacing w:line="276" w:lineRule="auto"/>
        <w:ind w:firstLine="709"/>
        <w:contextualSpacing/>
        <w:jc w:val="both"/>
        <w:rPr>
          <w:rFonts w:eastAsia="Calibri"/>
          <w:b/>
          <w:bCs/>
          <w:color w:val="000000"/>
        </w:rPr>
      </w:pPr>
    </w:p>
    <w:p w14:paraId="51EDD399" w14:textId="6410FC34" w:rsidR="001020FB" w:rsidRPr="00232BA0" w:rsidRDefault="001020FB" w:rsidP="001020FB">
      <w:pPr>
        <w:spacing w:after="100"/>
        <w:ind w:firstLine="700"/>
        <w:jc w:val="both"/>
      </w:pPr>
      <w:r w:rsidRPr="00232BA0">
        <w:rPr>
          <w:rFonts w:eastAsia="Calibri"/>
          <w:b/>
          <w:bCs/>
          <w:color w:val="000000"/>
        </w:rPr>
        <w:t>Расходная часть бюджета</w:t>
      </w:r>
      <w:r w:rsidRPr="00232BA0">
        <w:rPr>
          <w:color w:val="000000"/>
        </w:rPr>
        <w:t> </w:t>
      </w:r>
      <w:proofErr w:type="gramStart"/>
      <w:r w:rsidRPr="00232BA0">
        <w:rPr>
          <w:color w:val="000000"/>
        </w:rPr>
        <w:t>города  за</w:t>
      </w:r>
      <w:proofErr w:type="gramEnd"/>
      <w:r w:rsidRPr="00232BA0">
        <w:rPr>
          <w:color w:val="000000"/>
        </w:rPr>
        <w:t xml:space="preserve"> 202</w:t>
      </w:r>
      <w:r>
        <w:rPr>
          <w:color w:val="000000"/>
        </w:rPr>
        <w:t>2</w:t>
      </w:r>
      <w:r w:rsidRPr="00232BA0">
        <w:rPr>
          <w:color w:val="000000"/>
        </w:rPr>
        <w:t xml:space="preserve"> год исполнена на 99,</w:t>
      </w:r>
      <w:r>
        <w:rPr>
          <w:color w:val="000000"/>
        </w:rPr>
        <w:t>6</w:t>
      </w:r>
      <w:r w:rsidRPr="00232BA0">
        <w:rPr>
          <w:color w:val="000000"/>
        </w:rPr>
        <w:t xml:space="preserve"> процент, при годовом плане </w:t>
      </w:r>
      <w:r>
        <w:rPr>
          <w:color w:val="000000"/>
        </w:rPr>
        <w:t>1002239,8</w:t>
      </w:r>
      <w:r w:rsidRPr="00232BA0">
        <w:rPr>
          <w:color w:val="000000"/>
        </w:rPr>
        <w:t xml:space="preserve"> тыс. рублей фактические расходы составили  </w:t>
      </w:r>
      <w:r>
        <w:rPr>
          <w:color w:val="000000"/>
        </w:rPr>
        <w:t>998416,6</w:t>
      </w:r>
      <w:r w:rsidRPr="00232BA0">
        <w:rPr>
          <w:color w:val="000000"/>
        </w:rPr>
        <w:t xml:space="preserve"> тыс. рублей. </w:t>
      </w:r>
    </w:p>
    <w:p w14:paraId="2BDB82CE" w14:textId="42E65AD9" w:rsidR="001020FB" w:rsidRPr="00232BA0" w:rsidRDefault="001020FB" w:rsidP="001020FB">
      <w:pPr>
        <w:spacing w:after="100"/>
        <w:ind w:firstLine="700"/>
        <w:jc w:val="both"/>
      </w:pPr>
      <w:r w:rsidRPr="00232BA0">
        <w:rPr>
          <w:rFonts w:eastAsia="Calibri"/>
          <w:color w:val="000000"/>
        </w:rPr>
        <w:t xml:space="preserve">По разделу 01 </w:t>
      </w:r>
      <w:r w:rsidRPr="00232BA0">
        <w:rPr>
          <w:b/>
          <w:bCs/>
          <w:color w:val="000000"/>
        </w:rPr>
        <w:t>«Общегосударственные вопросы»</w:t>
      </w:r>
      <w:r w:rsidRPr="00232BA0">
        <w:rPr>
          <w:color w:val="000000"/>
        </w:rPr>
        <w:t xml:space="preserve"> при плане </w:t>
      </w:r>
      <w:r>
        <w:rPr>
          <w:color w:val="000000"/>
        </w:rPr>
        <w:t>31811,7</w:t>
      </w:r>
      <w:r w:rsidRPr="00232BA0">
        <w:rPr>
          <w:color w:val="000000"/>
        </w:rPr>
        <w:t xml:space="preserve"> тыс. рублей факт составил </w:t>
      </w:r>
      <w:r>
        <w:rPr>
          <w:color w:val="000000"/>
        </w:rPr>
        <w:t>31412,1</w:t>
      </w:r>
      <w:r w:rsidRPr="00232BA0">
        <w:rPr>
          <w:color w:val="000000"/>
        </w:rPr>
        <w:t xml:space="preserve"> тыс. рублей, исполнение </w:t>
      </w:r>
      <w:r>
        <w:rPr>
          <w:color w:val="000000"/>
        </w:rPr>
        <w:t>99</w:t>
      </w:r>
      <w:r w:rsidRPr="00232BA0">
        <w:rPr>
          <w:color w:val="000000"/>
        </w:rPr>
        <w:t xml:space="preserve"> %. </w:t>
      </w:r>
    </w:p>
    <w:p w14:paraId="1F35D3BB" w14:textId="75865343" w:rsidR="001020FB" w:rsidRPr="00232BA0" w:rsidRDefault="001020FB" w:rsidP="001020FB">
      <w:pPr>
        <w:spacing w:after="100"/>
        <w:ind w:firstLine="700"/>
        <w:jc w:val="both"/>
      </w:pPr>
      <w:r w:rsidRPr="00232BA0">
        <w:rPr>
          <w:rFonts w:eastAsia="Calibri"/>
          <w:color w:val="000000"/>
        </w:rPr>
        <w:t xml:space="preserve">По разделу 02 </w:t>
      </w:r>
      <w:r w:rsidRPr="00232BA0">
        <w:rPr>
          <w:b/>
          <w:bCs/>
          <w:color w:val="000000"/>
        </w:rPr>
        <w:t>«Национальная оборона»</w:t>
      </w:r>
      <w:r w:rsidRPr="00232BA0">
        <w:rPr>
          <w:color w:val="000000"/>
        </w:rPr>
        <w:t xml:space="preserve"> фактическое исполнение составляет </w:t>
      </w:r>
      <w:r>
        <w:rPr>
          <w:color w:val="000000"/>
        </w:rPr>
        <w:t>1</w:t>
      </w:r>
      <w:r>
        <w:rPr>
          <w:color w:val="000000"/>
        </w:rPr>
        <w:t>1518,4</w:t>
      </w:r>
      <w:r w:rsidRPr="00232BA0">
        <w:rPr>
          <w:color w:val="000000"/>
        </w:rPr>
        <w:t xml:space="preserve"> тыс. рублей при плане годовом плане </w:t>
      </w:r>
      <w:r>
        <w:rPr>
          <w:color w:val="000000"/>
        </w:rPr>
        <w:t>1518,4</w:t>
      </w:r>
      <w:r w:rsidRPr="00232BA0">
        <w:rPr>
          <w:color w:val="000000"/>
        </w:rPr>
        <w:t xml:space="preserve"> тыс. рублей </w:t>
      </w:r>
      <w:r>
        <w:rPr>
          <w:color w:val="000000"/>
        </w:rPr>
        <w:t>100</w:t>
      </w:r>
      <w:r w:rsidRPr="00232BA0">
        <w:rPr>
          <w:color w:val="000000"/>
        </w:rPr>
        <w:t xml:space="preserve">%. По данному разделу указываются расходы </w:t>
      </w:r>
      <w:r>
        <w:rPr>
          <w:color w:val="000000"/>
        </w:rPr>
        <w:t xml:space="preserve">на выплату заработной платы работников </w:t>
      </w:r>
      <w:r w:rsidRPr="00232BA0">
        <w:rPr>
          <w:color w:val="000000"/>
        </w:rPr>
        <w:t>по осуществлению первичного воинского учета на территориях, где отсутствуют военные комиссариаты. </w:t>
      </w:r>
    </w:p>
    <w:p w14:paraId="6F087DEE" w14:textId="2732FDFF" w:rsidR="001020FB" w:rsidRPr="00232BA0" w:rsidRDefault="001020FB" w:rsidP="001020FB">
      <w:pPr>
        <w:spacing w:after="100"/>
        <w:ind w:firstLine="700"/>
        <w:jc w:val="both"/>
      </w:pPr>
      <w:r w:rsidRPr="00232BA0">
        <w:rPr>
          <w:rFonts w:eastAsia="Calibri"/>
          <w:color w:val="000000"/>
        </w:rPr>
        <w:t xml:space="preserve">Раздел 03 </w:t>
      </w:r>
      <w:r w:rsidRPr="00232BA0">
        <w:rPr>
          <w:b/>
          <w:bCs/>
          <w:color w:val="000000"/>
        </w:rPr>
        <w:t>«Национальная безопасность и правоохранительная деятельность»</w:t>
      </w:r>
      <w:r w:rsidRPr="00232BA0">
        <w:rPr>
          <w:color w:val="000000"/>
        </w:rPr>
        <w:t xml:space="preserve"> при плане </w:t>
      </w:r>
      <w:r>
        <w:rPr>
          <w:color w:val="000000"/>
        </w:rPr>
        <w:t>5291,9</w:t>
      </w:r>
      <w:r w:rsidRPr="00232BA0">
        <w:rPr>
          <w:color w:val="000000"/>
        </w:rPr>
        <w:t xml:space="preserve"> тыс. рублей фактически исполнено на</w:t>
      </w:r>
      <w:r>
        <w:rPr>
          <w:color w:val="000000"/>
        </w:rPr>
        <w:t xml:space="preserve"> </w:t>
      </w:r>
      <w:r>
        <w:rPr>
          <w:color w:val="000000"/>
        </w:rPr>
        <w:t>99</w:t>
      </w:r>
      <w:r w:rsidRPr="00232BA0">
        <w:rPr>
          <w:color w:val="000000"/>
        </w:rPr>
        <w:t>%</w:t>
      </w:r>
      <w:r>
        <w:rPr>
          <w:color w:val="000000"/>
        </w:rPr>
        <w:t xml:space="preserve"> или на </w:t>
      </w:r>
      <w:r>
        <w:rPr>
          <w:color w:val="000000"/>
        </w:rPr>
        <w:t>5261,9</w:t>
      </w:r>
      <w:r>
        <w:rPr>
          <w:color w:val="000000"/>
        </w:rPr>
        <w:t xml:space="preserve"> тыс. рублей</w:t>
      </w:r>
      <w:r w:rsidRPr="00232BA0">
        <w:rPr>
          <w:color w:val="000000"/>
        </w:rPr>
        <w:t>. По данному разделу учитываются расходы на содержание ЕДДС, реализация муниципальной программы «Повышение БДД» и мероприятий по профилактике правонарушения.</w:t>
      </w:r>
    </w:p>
    <w:p w14:paraId="33D3FADD" w14:textId="0AD0A313" w:rsidR="001020FB" w:rsidRPr="00232BA0" w:rsidRDefault="001020FB" w:rsidP="001020FB">
      <w:pPr>
        <w:spacing w:after="100"/>
        <w:ind w:firstLine="700"/>
        <w:jc w:val="both"/>
      </w:pPr>
      <w:r w:rsidRPr="00232BA0">
        <w:rPr>
          <w:rFonts w:eastAsia="Calibri"/>
          <w:color w:val="000000"/>
        </w:rPr>
        <w:t xml:space="preserve">По разделу 04 </w:t>
      </w:r>
      <w:r w:rsidRPr="00232BA0">
        <w:rPr>
          <w:b/>
          <w:bCs/>
          <w:color w:val="000000"/>
        </w:rPr>
        <w:t>«Национальная экономика»</w:t>
      </w:r>
      <w:r w:rsidRPr="00232BA0">
        <w:rPr>
          <w:color w:val="000000"/>
        </w:rPr>
        <w:t xml:space="preserve"> исполнение составило </w:t>
      </w:r>
      <w:r>
        <w:rPr>
          <w:color w:val="000000"/>
        </w:rPr>
        <w:t>99,8</w:t>
      </w:r>
      <w:r w:rsidRPr="00232BA0">
        <w:rPr>
          <w:color w:val="000000"/>
        </w:rPr>
        <w:t xml:space="preserve">%.  При годовом плане </w:t>
      </w:r>
      <w:r>
        <w:rPr>
          <w:color w:val="000000"/>
        </w:rPr>
        <w:t>26768,5</w:t>
      </w:r>
      <w:r w:rsidRPr="00232BA0">
        <w:rPr>
          <w:color w:val="000000"/>
        </w:rPr>
        <w:t xml:space="preserve"> тыс. рублей фактическое исполнение составило </w:t>
      </w:r>
      <w:r>
        <w:rPr>
          <w:color w:val="000000"/>
        </w:rPr>
        <w:t>26726,6</w:t>
      </w:r>
      <w:r w:rsidRPr="00232BA0">
        <w:rPr>
          <w:color w:val="000000"/>
        </w:rPr>
        <w:t xml:space="preserve"> тыс. рублей. По данному разделу отражаются расходы дорожного фонда города, расходы на реализацию мероприятий, направленных на создание условий для развития предпринимательства, расходы на оплату труда 10 немуниципальных единиц прочего персонала аппарата управления. </w:t>
      </w:r>
    </w:p>
    <w:p w14:paraId="664BBD3C" w14:textId="12B71EFA" w:rsidR="001020FB" w:rsidRPr="00232BA0" w:rsidRDefault="001020FB" w:rsidP="001020FB">
      <w:pPr>
        <w:ind w:firstLine="700"/>
        <w:jc w:val="both"/>
      </w:pPr>
      <w:r w:rsidRPr="00232BA0">
        <w:rPr>
          <w:rFonts w:eastAsia="Calibri"/>
          <w:color w:val="000000"/>
        </w:rPr>
        <w:t xml:space="preserve">По разделу 05 </w:t>
      </w:r>
      <w:r w:rsidRPr="00232BA0">
        <w:rPr>
          <w:b/>
          <w:bCs/>
          <w:color w:val="000000"/>
        </w:rPr>
        <w:t>«Жилищно-коммунальное хозяйство»</w:t>
      </w:r>
      <w:r w:rsidRPr="00232BA0">
        <w:rPr>
          <w:color w:val="000000"/>
        </w:rPr>
        <w:t xml:space="preserve"> исполнение составило </w:t>
      </w:r>
      <w:r>
        <w:rPr>
          <w:color w:val="000000"/>
        </w:rPr>
        <w:t xml:space="preserve">14046,8 </w:t>
      </w:r>
      <w:r>
        <w:rPr>
          <w:color w:val="000000"/>
        </w:rPr>
        <w:t>тыс. рублей</w:t>
      </w:r>
      <w:r w:rsidRPr="00232BA0">
        <w:rPr>
          <w:color w:val="000000"/>
        </w:rPr>
        <w:t xml:space="preserve"> при годовом плане </w:t>
      </w:r>
      <w:r>
        <w:rPr>
          <w:color w:val="000000"/>
        </w:rPr>
        <w:t>14046,8</w:t>
      </w:r>
      <w:r w:rsidRPr="00232BA0">
        <w:rPr>
          <w:color w:val="000000"/>
        </w:rPr>
        <w:t xml:space="preserve"> тыс. рублей. По благоустройству города </w:t>
      </w:r>
      <w:r w:rsidR="00813125">
        <w:rPr>
          <w:color w:val="000000"/>
        </w:rPr>
        <w:t>8291,6</w:t>
      </w:r>
      <w:r w:rsidRPr="00232BA0">
        <w:rPr>
          <w:color w:val="000000"/>
        </w:rPr>
        <w:t xml:space="preserve"> тыс. рублей, уличное освещение </w:t>
      </w:r>
      <w:r w:rsidR="00813125">
        <w:rPr>
          <w:color w:val="000000"/>
        </w:rPr>
        <w:t>2453,9</w:t>
      </w:r>
      <w:r w:rsidRPr="00232BA0">
        <w:rPr>
          <w:color w:val="000000"/>
        </w:rPr>
        <w:t xml:space="preserve"> тыс. рублей, </w:t>
      </w:r>
      <w:r w:rsidR="00813125">
        <w:rPr>
          <w:color w:val="000000"/>
        </w:rPr>
        <w:t xml:space="preserve">приобретение насосной станции 273,0 тыс. рублей, </w:t>
      </w:r>
      <w:r w:rsidRPr="00232BA0">
        <w:rPr>
          <w:color w:val="000000"/>
        </w:rPr>
        <w:t xml:space="preserve">ФКГС </w:t>
      </w:r>
      <w:r>
        <w:rPr>
          <w:color w:val="000000"/>
        </w:rPr>
        <w:t>20</w:t>
      </w:r>
      <w:r w:rsidR="00813125">
        <w:rPr>
          <w:color w:val="000000"/>
        </w:rPr>
        <w:t>4</w:t>
      </w:r>
      <w:r>
        <w:rPr>
          <w:color w:val="000000"/>
        </w:rPr>
        <w:t>0,</w:t>
      </w:r>
      <w:r w:rsidR="00813125">
        <w:rPr>
          <w:color w:val="000000"/>
        </w:rPr>
        <w:t>2</w:t>
      </w:r>
      <w:r w:rsidRPr="00232BA0">
        <w:rPr>
          <w:color w:val="000000"/>
        </w:rPr>
        <w:t xml:space="preserve"> тыс. рублей</w:t>
      </w:r>
      <w:r>
        <w:rPr>
          <w:color w:val="000000"/>
        </w:rPr>
        <w:t xml:space="preserve">, ремонт многоквартирных домов </w:t>
      </w:r>
      <w:r w:rsidR="00813125">
        <w:rPr>
          <w:color w:val="000000"/>
        </w:rPr>
        <w:t>988,1</w:t>
      </w:r>
      <w:r>
        <w:rPr>
          <w:color w:val="000000"/>
        </w:rPr>
        <w:t xml:space="preserve"> тыс. рублей</w:t>
      </w:r>
      <w:r w:rsidRPr="00232BA0">
        <w:rPr>
          <w:color w:val="000000"/>
        </w:rPr>
        <w:t>.</w:t>
      </w:r>
    </w:p>
    <w:p w14:paraId="02A7958C" w14:textId="0DE02384" w:rsidR="001020FB" w:rsidRDefault="001020FB" w:rsidP="001020FB">
      <w:pPr>
        <w:spacing w:after="100"/>
        <w:ind w:firstLine="700"/>
        <w:jc w:val="both"/>
        <w:rPr>
          <w:color w:val="000000"/>
        </w:rPr>
      </w:pPr>
      <w:r w:rsidRPr="00232BA0">
        <w:rPr>
          <w:rFonts w:eastAsia="Calibri"/>
          <w:color w:val="000000"/>
        </w:rPr>
        <w:t xml:space="preserve">По разделу 07 </w:t>
      </w:r>
      <w:r w:rsidRPr="00232BA0">
        <w:rPr>
          <w:b/>
          <w:bCs/>
          <w:color w:val="000000"/>
        </w:rPr>
        <w:t>«Образование»</w:t>
      </w:r>
      <w:r w:rsidRPr="00232BA0">
        <w:rPr>
          <w:color w:val="000000"/>
        </w:rPr>
        <w:t xml:space="preserve"> исполнение </w:t>
      </w:r>
      <w:r w:rsidR="0036360D">
        <w:rPr>
          <w:color w:val="000000"/>
        </w:rPr>
        <w:t>99,5</w:t>
      </w:r>
      <w:r w:rsidRPr="00232BA0">
        <w:rPr>
          <w:color w:val="000000"/>
        </w:rPr>
        <w:t xml:space="preserve"> процентов, при годовом плане </w:t>
      </w:r>
      <w:r w:rsidR="0036360D">
        <w:rPr>
          <w:color w:val="000000"/>
        </w:rPr>
        <w:t>566956,6</w:t>
      </w:r>
      <w:r w:rsidRPr="00232BA0">
        <w:rPr>
          <w:color w:val="000000"/>
        </w:rPr>
        <w:t xml:space="preserve"> тыс. рублей фактические расходы составили </w:t>
      </w:r>
      <w:r w:rsidR="0036360D">
        <w:rPr>
          <w:color w:val="000000"/>
        </w:rPr>
        <w:t>564250,9</w:t>
      </w:r>
      <w:r w:rsidRPr="00232BA0">
        <w:rPr>
          <w:color w:val="000000"/>
        </w:rPr>
        <w:t xml:space="preserve"> тыс. рублей</w:t>
      </w:r>
      <w:r>
        <w:rPr>
          <w:color w:val="000000"/>
        </w:rPr>
        <w:t xml:space="preserve">, в том числе: </w:t>
      </w:r>
    </w:p>
    <w:p w14:paraId="7220BACD" w14:textId="69E226A8" w:rsidR="001020FB" w:rsidRDefault="001020FB" w:rsidP="001020FB">
      <w:pPr>
        <w:spacing w:after="100"/>
        <w:ind w:firstLine="700"/>
        <w:jc w:val="both"/>
        <w:rPr>
          <w:color w:val="000000"/>
        </w:rPr>
      </w:pPr>
      <w:r>
        <w:rPr>
          <w:color w:val="000000"/>
        </w:rPr>
        <w:t xml:space="preserve">Дошкольные учреждения- </w:t>
      </w:r>
      <w:r w:rsidR="0036360D">
        <w:rPr>
          <w:color w:val="000000"/>
        </w:rPr>
        <w:t>182276,9</w:t>
      </w:r>
      <w:r>
        <w:rPr>
          <w:color w:val="000000"/>
        </w:rPr>
        <w:t xml:space="preserve"> тыс.</w:t>
      </w:r>
      <w:r w:rsidR="0036360D">
        <w:rPr>
          <w:color w:val="000000"/>
        </w:rPr>
        <w:t xml:space="preserve"> </w:t>
      </w:r>
      <w:r>
        <w:rPr>
          <w:color w:val="000000"/>
        </w:rPr>
        <w:t xml:space="preserve">рублей или </w:t>
      </w:r>
      <w:r w:rsidR="0036360D">
        <w:rPr>
          <w:color w:val="000000"/>
        </w:rPr>
        <w:t>100</w:t>
      </w:r>
      <w:r>
        <w:rPr>
          <w:color w:val="000000"/>
        </w:rPr>
        <w:t>%;</w:t>
      </w:r>
    </w:p>
    <w:p w14:paraId="6CAB4B59" w14:textId="388538D5" w:rsidR="001020FB" w:rsidRDefault="001020FB" w:rsidP="001020FB">
      <w:pPr>
        <w:spacing w:after="100"/>
        <w:ind w:firstLine="700"/>
        <w:jc w:val="both"/>
        <w:rPr>
          <w:color w:val="000000"/>
        </w:rPr>
      </w:pPr>
      <w:r>
        <w:rPr>
          <w:color w:val="000000"/>
        </w:rPr>
        <w:t xml:space="preserve">Общеобразовательные учреждения </w:t>
      </w:r>
      <w:r w:rsidR="0036360D">
        <w:rPr>
          <w:color w:val="000000"/>
        </w:rPr>
        <w:t>–</w:t>
      </w:r>
      <w:r>
        <w:rPr>
          <w:color w:val="000000"/>
        </w:rPr>
        <w:t xml:space="preserve"> </w:t>
      </w:r>
      <w:r w:rsidR="0036360D">
        <w:rPr>
          <w:color w:val="000000"/>
        </w:rPr>
        <w:t>297302,0</w:t>
      </w:r>
      <w:r>
        <w:rPr>
          <w:color w:val="000000"/>
        </w:rPr>
        <w:t xml:space="preserve"> тыс.</w:t>
      </w:r>
      <w:r w:rsidR="0036360D">
        <w:rPr>
          <w:color w:val="000000"/>
        </w:rPr>
        <w:t xml:space="preserve"> </w:t>
      </w:r>
      <w:r>
        <w:rPr>
          <w:color w:val="000000"/>
        </w:rPr>
        <w:t xml:space="preserve">рублей или </w:t>
      </w:r>
      <w:r w:rsidR="0036360D">
        <w:rPr>
          <w:color w:val="000000"/>
        </w:rPr>
        <w:t>99</w:t>
      </w:r>
      <w:r>
        <w:rPr>
          <w:color w:val="000000"/>
        </w:rPr>
        <w:t>%;</w:t>
      </w:r>
    </w:p>
    <w:p w14:paraId="02769670" w14:textId="3CF25A76" w:rsidR="001020FB" w:rsidRDefault="001020FB" w:rsidP="001020FB">
      <w:pPr>
        <w:spacing w:after="100"/>
        <w:ind w:firstLine="700"/>
        <w:jc w:val="both"/>
        <w:rPr>
          <w:color w:val="000000"/>
        </w:rPr>
      </w:pPr>
      <w:r>
        <w:rPr>
          <w:color w:val="000000"/>
        </w:rPr>
        <w:t xml:space="preserve">Внешкольные учреждения – </w:t>
      </w:r>
      <w:r w:rsidR="0036360D">
        <w:rPr>
          <w:color w:val="000000"/>
        </w:rPr>
        <w:t>52998,1</w:t>
      </w:r>
      <w:r>
        <w:rPr>
          <w:color w:val="000000"/>
        </w:rPr>
        <w:t xml:space="preserve"> тыс.</w:t>
      </w:r>
      <w:r w:rsidR="0036360D">
        <w:rPr>
          <w:color w:val="000000"/>
        </w:rPr>
        <w:t xml:space="preserve"> </w:t>
      </w:r>
      <w:r>
        <w:rPr>
          <w:color w:val="000000"/>
        </w:rPr>
        <w:t xml:space="preserve">рублей или </w:t>
      </w:r>
      <w:r w:rsidR="0036360D">
        <w:rPr>
          <w:color w:val="000000"/>
        </w:rPr>
        <w:t>100</w:t>
      </w:r>
      <w:r>
        <w:rPr>
          <w:color w:val="000000"/>
        </w:rPr>
        <w:t>%;</w:t>
      </w:r>
    </w:p>
    <w:p w14:paraId="1A75F8F8" w14:textId="0A96EAEA" w:rsidR="001020FB" w:rsidRPr="00232BA0" w:rsidRDefault="001020FB" w:rsidP="001020FB">
      <w:pPr>
        <w:spacing w:after="100"/>
        <w:ind w:firstLine="700"/>
        <w:jc w:val="both"/>
      </w:pPr>
      <w:r>
        <w:rPr>
          <w:color w:val="000000"/>
        </w:rPr>
        <w:lastRenderedPageBreak/>
        <w:t xml:space="preserve">Управление образования – </w:t>
      </w:r>
      <w:r w:rsidR="0036360D">
        <w:rPr>
          <w:color w:val="000000"/>
        </w:rPr>
        <w:t>4166,9</w:t>
      </w:r>
      <w:r>
        <w:rPr>
          <w:color w:val="000000"/>
        </w:rPr>
        <w:t xml:space="preserve"> тыс.</w:t>
      </w:r>
      <w:r w:rsidR="0036360D">
        <w:rPr>
          <w:color w:val="000000"/>
        </w:rPr>
        <w:t xml:space="preserve"> </w:t>
      </w:r>
      <w:r>
        <w:rPr>
          <w:color w:val="000000"/>
        </w:rPr>
        <w:t xml:space="preserve">рублей – </w:t>
      </w:r>
      <w:r w:rsidR="0036360D">
        <w:rPr>
          <w:color w:val="000000"/>
        </w:rPr>
        <w:t>100</w:t>
      </w:r>
      <w:r>
        <w:rPr>
          <w:color w:val="000000"/>
        </w:rPr>
        <w:t>%.</w:t>
      </w:r>
    </w:p>
    <w:p w14:paraId="3ADCF100" w14:textId="0A0958DC" w:rsidR="001020FB" w:rsidRPr="00232BA0" w:rsidRDefault="001020FB" w:rsidP="001020FB">
      <w:pPr>
        <w:ind w:firstLine="720"/>
        <w:jc w:val="both"/>
        <w:rPr>
          <w:b/>
          <w:bCs/>
          <w:color w:val="000000"/>
        </w:rPr>
      </w:pPr>
      <w:r w:rsidRPr="00232BA0">
        <w:rPr>
          <w:color w:val="000000"/>
        </w:rPr>
        <w:t xml:space="preserve">Раздел 08 </w:t>
      </w:r>
      <w:r w:rsidRPr="00232BA0">
        <w:rPr>
          <w:b/>
          <w:bCs/>
          <w:color w:val="000000"/>
        </w:rPr>
        <w:t>«Культура и кинематография». </w:t>
      </w:r>
      <w:r w:rsidRPr="00232BA0">
        <w:rPr>
          <w:color w:val="000000"/>
        </w:rPr>
        <w:t xml:space="preserve">Фактически </w:t>
      </w:r>
      <w:r>
        <w:rPr>
          <w:color w:val="000000"/>
        </w:rPr>
        <w:t xml:space="preserve">исполнено </w:t>
      </w:r>
      <w:r w:rsidRPr="00232BA0">
        <w:rPr>
          <w:color w:val="000000"/>
        </w:rPr>
        <w:t xml:space="preserve">за отчетный период </w:t>
      </w:r>
      <w:r w:rsidR="005627A5">
        <w:rPr>
          <w:color w:val="000000"/>
        </w:rPr>
        <w:t>35054,5</w:t>
      </w:r>
      <w:r w:rsidRPr="00232BA0">
        <w:rPr>
          <w:color w:val="000000"/>
        </w:rPr>
        <w:t xml:space="preserve"> тыс. рублей при годовом плане </w:t>
      </w:r>
      <w:r w:rsidR="005627A5">
        <w:rPr>
          <w:color w:val="000000"/>
        </w:rPr>
        <w:t>35054,5</w:t>
      </w:r>
      <w:r w:rsidRPr="00232BA0">
        <w:rPr>
          <w:color w:val="000000"/>
        </w:rPr>
        <w:t xml:space="preserve"> тыс. рублей или исполнено на </w:t>
      </w:r>
      <w:r w:rsidR="005627A5">
        <w:rPr>
          <w:color w:val="000000"/>
        </w:rPr>
        <w:t>100</w:t>
      </w:r>
      <w:r w:rsidRPr="00232BA0">
        <w:rPr>
          <w:color w:val="000000"/>
        </w:rPr>
        <w:t>%</w:t>
      </w:r>
      <w:r w:rsidRPr="00232BA0">
        <w:rPr>
          <w:b/>
          <w:bCs/>
          <w:color w:val="000000"/>
        </w:rPr>
        <w:t>.</w:t>
      </w:r>
    </w:p>
    <w:p w14:paraId="4916729A" w14:textId="28DE2721" w:rsidR="001020FB" w:rsidRPr="00232BA0" w:rsidRDefault="001020FB" w:rsidP="001020FB">
      <w:pPr>
        <w:ind w:firstLine="720"/>
        <w:jc w:val="both"/>
      </w:pPr>
      <w:r w:rsidRPr="00232BA0">
        <w:rPr>
          <w:color w:val="000000"/>
        </w:rPr>
        <w:t>Раздел 09.</w:t>
      </w:r>
      <w:r w:rsidR="005627A5">
        <w:rPr>
          <w:color w:val="000000"/>
        </w:rPr>
        <w:t xml:space="preserve"> </w:t>
      </w:r>
      <w:r w:rsidRPr="00232BA0">
        <w:rPr>
          <w:color w:val="000000"/>
        </w:rPr>
        <w:t>Расходы на</w:t>
      </w:r>
      <w:r w:rsidRPr="00232BA0">
        <w:rPr>
          <w:b/>
          <w:bCs/>
          <w:color w:val="000000"/>
        </w:rPr>
        <w:t xml:space="preserve"> «Здравоохранение» </w:t>
      </w:r>
      <w:r w:rsidRPr="00232BA0">
        <w:rPr>
          <w:color w:val="000000"/>
        </w:rPr>
        <w:t xml:space="preserve">составили </w:t>
      </w:r>
      <w:r>
        <w:rPr>
          <w:color w:val="000000"/>
        </w:rPr>
        <w:t>320,1</w:t>
      </w:r>
      <w:r w:rsidRPr="00232BA0">
        <w:rPr>
          <w:color w:val="000000"/>
        </w:rPr>
        <w:t xml:space="preserve"> тыс. рублей</w:t>
      </w:r>
      <w:r w:rsidRPr="00232BA0">
        <w:rPr>
          <w:b/>
          <w:bCs/>
          <w:color w:val="000000"/>
        </w:rPr>
        <w:t xml:space="preserve"> </w:t>
      </w:r>
      <w:r w:rsidRPr="00232BA0">
        <w:rPr>
          <w:color w:val="000000"/>
        </w:rPr>
        <w:t xml:space="preserve">при плане </w:t>
      </w:r>
      <w:r w:rsidR="005627A5">
        <w:rPr>
          <w:color w:val="000000"/>
        </w:rPr>
        <w:t>320,1</w:t>
      </w:r>
      <w:r w:rsidRPr="00232BA0">
        <w:rPr>
          <w:color w:val="000000"/>
        </w:rPr>
        <w:t xml:space="preserve"> тыс. рублей.   </w:t>
      </w:r>
    </w:p>
    <w:p w14:paraId="7D376378" w14:textId="1389C552" w:rsidR="001020FB" w:rsidRPr="00232BA0" w:rsidRDefault="001020FB" w:rsidP="001020FB">
      <w:pPr>
        <w:ind w:firstLine="720"/>
        <w:jc w:val="both"/>
      </w:pPr>
      <w:r w:rsidRPr="00232BA0">
        <w:rPr>
          <w:color w:val="000000"/>
        </w:rPr>
        <w:t>Раздел 10. Финансирование в области «С</w:t>
      </w:r>
      <w:r w:rsidRPr="00232BA0">
        <w:rPr>
          <w:b/>
          <w:bCs/>
          <w:color w:val="000000"/>
        </w:rPr>
        <w:t>оциальной политики»</w:t>
      </w:r>
      <w:r w:rsidRPr="00232BA0">
        <w:rPr>
          <w:color w:val="000000"/>
        </w:rPr>
        <w:t xml:space="preserve"> составляет </w:t>
      </w:r>
      <w:r w:rsidR="005627A5">
        <w:rPr>
          <w:color w:val="000000"/>
        </w:rPr>
        <w:t>308287,4</w:t>
      </w:r>
      <w:r w:rsidRPr="00232BA0">
        <w:rPr>
          <w:color w:val="000000"/>
        </w:rPr>
        <w:t xml:space="preserve">тыс. рублей при годовом плане </w:t>
      </w:r>
      <w:r w:rsidR="005627A5">
        <w:rPr>
          <w:color w:val="000000"/>
        </w:rPr>
        <w:t>308933,4</w:t>
      </w:r>
      <w:r w:rsidRPr="00232BA0">
        <w:rPr>
          <w:color w:val="000000"/>
        </w:rPr>
        <w:t xml:space="preserve"> тыс. рублей, исполнение </w:t>
      </w:r>
      <w:r w:rsidR="005627A5">
        <w:rPr>
          <w:color w:val="000000"/>
        </w:rPr>
        <w:t>99,8</w:t>
      </w:r>
      <w:r w:rsidRPr="00232BA0">
        <w:rPr>
          <w:color w:val="000000"/>
        </w:rPr>
        <w:t xml:space="preserve"> %. </w:t>
      </w:r>
    </w:p>
    <w:p w14:paraId="50EFF784" w14:textId="476BB0C4" w:rsidR="001020FB" w:rsidRPr="00232BA0" w:rsidRDefault="001020FB" w:rsidP="001020FB">
      <w:pPr>
        <w:spacing w:after="100"/>
        <w:ind w:firstLine="700"/>
        <w:jc w:val="both"/>
        <w:rPr>
          <w:color w:val="000000"/>
        </w:rPr>
      </w:pPr>
      <w:r w:rsidRPr="00232BA0">
        <w:rPr>
          <w:rFonts w:eastAsia="Calibri"/>
          <w:color w:val="000000"/>
        </w:rPr>
        <w:t>Раздел 11. «</w:t>
      </w:r>
      <w:r w:rsidRPr="00232BA0">
        <w:rPr>
          <w:b/>
          <w:bCs/>
          <w:color w:val="000000"/>
        </w:rPr>
        <w:t>Физическая культура и спорт»</w:t>
      </w:r>
      <w:r w:rsidR="005627A5">
        <w:rPr>
          <w:b/>
          <w:bCs/>
          <w:color w:val="000000"/>
        </w:rPr>
        <w:t xml:space="preserve">. </w:t>
      </w:r>
      <w:r w:rsidRPr="00232BA0">
        <w:rPr>
          <w:color w:val="000000"/>
        </w:rPr>
        <w:t xml:space="preserve">Расходы составили </w:t>
      </w:r>
      <w:r w:rsidR="005627A5">
        <w:rPr>
          <w:color w:val="000000"/>
        </w:rPr>
        <w:t>11519,5</w:t>
      </w:r>
      <w:r w:rsidRPr="00232BA0">
        <w:rPr>
          <w:color w:val="000000"/>
        </w:rPr>
        <w:t xml:space="preserve"> тыс. рублей, что составляет </w:t>
      </w:r>
      <w:r w:rsidR="005627A5">
        <w:rPr>
          <w:color w:val="000000"/>
        </w:rPr>
        <w:t>100</w:t>
      </w:r>
      <w:r w:rsidRPr="00232BA0">
        <w:rPr>
          <w:color w:val="000000"/>
        </w:rPr>
        <w:t xml:space="preserve"> % от годового плана.</w:t>
      </w:r>
    </w:p>
    <w:p w14:paraId="20F765C9" w14:textId="77777777" w:rsidR="001020FB" w:rsidRPr="00232BA0" w:rsidRDefault="001020FB" w:rsidP="001020FB">
      <w:pPr>
        <w:jc w:val="both"/>
      </w:pPr>
    </w:p>
    <w:p w14:paraId="4E0899E6" w14:textId="2A3ECE6B" w:rsidR="001020FB" w:rsidRPr="00232BA0" w:rsidRDefault="001020FB" w:rsidP="001020FB">
      <w:pPr>
        <w:ind w:firstLine="567"/>
        <w:jc w:val="both"/>
      </w:pPr>
      <w:r w:rsidRPr="00232BA0">
        <w:t xml:space="preserve">На реализацию муниципальных программ из общего объема расходов бюджета направлено </w:t>
      </w:r>
      <w:r w:rsidR="005627A5">
        <w:t>960616,4</w:t>
      </w:r>
      <w:r w:rsidRPr="00232BA0">
        <w:t xml:space="preserve"> тыс. рублей при плане </w:t>
      </w:r>
      <w:r w:rsidR="005627A5">
        <w:t>964364,9</w:t>
      </w:r>
      <w:r w:rsidRPr="00232BA0">
        <w:t xml:space="preserve"> тыс. рублей, исполнение от всего расходов составило </w:t>
      </w:r>
      <w:r w:rsidR="005627A5">
        <w:t>96</w:t>
      </w:r>
      <w:r w:rsidRPr="00232BA0">
        <w:t>%.</w:t>
      </w:r>
    </w:p>
    <w:p w14:paraId="3B04EA24" w14:textId="77777777" w:rsidR="001020FB" w:rsidRPr="00232BA0" w:rsidRDefault="001020FB" w:rsidP="001020FB">
      <w:pPr>
        <w:ind w:firstLine="708"/>
        <w:jc w:val="both"/>
      </w:pPr>
    </w:p>
    <w:p w14:paraId="46973BE6" w14:textId="6923D22C" w:rsidR="001020FB" w:rsidRPr="00232BA0" w:rsidRDefault="001020FB" w:rsidP="001020FB">
      <w:pPr>
        <w:ind w:firstLine="567"/>
        <w:jc w:val="both"/>
      </w:pPr>
      <w:r>
        <w:t xml:space="preserve">За </w:t>
      </w:r>
      <w:r w:rsidRPr="00232BA0">
        <w:t>202</w:t>
      </w:r>
      <w:r>
        <w:t>2</w:t>
      </w:r>
      <w:r w:rsidRPr="00232BA0">
        <w:t xml:space="preserve"> год начислено за коммунальные услуги учреждений города Ак-Довурак фактически профинансировано </w:t>
      </w:r>
      <w:r w:rsidR="007B6915">
        <w:rPr>
          <w:b/>
        </w:rPr>
        <w:t>53297,6</w:t>
      </w:r>
      <w:r w:rsidRPr="00232BA0">
        <w:t xml:space="preserve"> тыс.</w:t>
      </w:r>
      <w:r w:rsidR="007B6915">
        <w:t xml:space="preserve"> </w:t>
      </w:r>
      <w:r w:rsidRPr="00232BA0">
        <w:t xml:space="preserve">рублей, в том числе за счет целевых средств </w:t>
      </w:r>
      <w:r w:rsidR="007B6915">
        <w:rPr>
          <w:b/>
        </w:rPr>
        <w:t>35706,6</w:t>
      </w:r>
      <w:r w:rsidRPr="00232BA0">
        <w:t xml:space="preserve"> </w:t>
      </w:r>
      <w:proofErr w:type="spellStart"/>
      <w:r w:rsidRPr="00232BA0">
        <w:t>тыс.рублей</w:t>
      </w:r>
      <w:proofErr w:type="spellEnd"/>
      <w:r w:rsidRPr="00232BA0">
        <w:t xml:space="preserve">, за счет собственных средств бюджета </w:t>
      </w:r>
      <w:r w:rsidR="007B6915">
        <w:rPr>
          <w:b/>
        </w:rPr>
        <w:t>17591,0</w:t>
      </w:r>
      <w:r w:rsidRPr="00232BA0">
        <w:t xml:space="preserve"> </w:t>
      </w:r>
      <w:proofErr w:type="spellStart"/>
      <w:r w:rsidRPr="00232BA0">
        <w:t>тыс.рублей</w:t>
      </w:r>
      <w:proofErr w:type="spellEnd"/>
      <w:r w:rsidRPr="00232BA0">
        <w:t xml:space="preserve">, т.е. условие </w:t>
      </w:r>
      <w:proofErr w:type="spellStart"/>
      <w:r w:rsidRPr="00232BA0">
        <w:t>софинансирования</w:t>
      </w:r>
      <w:proofErr w:type="spellEnd"/>
      <w:r w:rsidRPr="00232BA0">
        <w:t xml:space="preserve"> субсидии за счет собственных доходов </w:t>
      </w:r>
      <w:r w:rsidR="007B6915">
        <w:t>30% пере</w:t>
      </w:r>
      <w:r w:rsidRPr="00232BA0">
        <w:t>выполнен</w:t>
      </w:r>
      <w:r w:rsidR="007B6915">
        <w:t>о</w:t>
      </w:r>
      <w:r>
        <w:t xml:space="preserve"> и составило 3</w:t>
      </w:r>
      <w:r w:rsidR="007B6915">
        <w:t>3</w:t>
      </w:r>
      <w:r>
        <w:t>%.</w:t>
      </w:r>
    </w:p>
    <w:p w14:paraId="32E1B1B5" w14:textId="77777777" w:rsidR="001020FB" w:rsidRPr="00232BA0" w:rsidRDefault="001020FB" w:rsidP="001020FB">
      <w:pPr>
        <w:ind w:firstLine="567"/>
        <w:jc w:val="both"/>
      </w:pPr>
      <w:r w:rsidRPr="00232BA0">
        <w:t>Кредиторская задолженность за коммунальные услуги за 202</w:t>
      </w:r>
      <w:r>
        <w:t>1</w:t>
      </w:r>
      <w:r w:rsidRPr="00232BA0">
        <w:t xml:space="preserve"> </w:t>
      </w:r>
      <w:proofErr w:type="gramStart"/>
      <w:r w:rsidRPr="00232BA0">
        <w:t>год  в</w:t>
      </w:r>
      <w:proofErr w:type="gramEnd"/>
      <w:r w:rsidRPr="00232BA0">
        <w:t xml:space="preserve"> сумме </w:t>
      </w:r>
      <w:r>
        <w:rPr>
          <w:b/>
        </w:rPr>
        <w:t>2749,8</w:t>
      </w:r>
      <w:r w:rsidRPr="00232BA0">
        <w:t xml:space="preserve"> </w:t>
      </w:r>
      <w:proofErr w:type="spellStart"/>
      <w:r w:rsidRPr="00232BA0">
        <w:t>тыс.рублей</w:t>
      </w:r>
      <w:proofErr w:type="spellEnd"/>
      <w:r w:rsidRPr="00232BA0">
        <w:t xml:space="preserve"> погашена в январе месяце 2021 года, т.е. за счет лимита 2021 года.</w:t>
      </w:r>
    </w:p>
    <w:p w14:paraId="176B4DB7" w14:textId="73416A7F" w:rsidR="001020FB" w:rsidRPr="00232BA0" w:rsidRDefault="001020FB" w:rsidP="001020FB">
      <w:pPr>
        <w:ind w:firstLine="567"/>
        <w:jc w:val="both"/>
      </w:pPr>
      <w:r w:rsidRPr="00232BA0">
        <w:t>Кредиторская задолженность коммунальных услуг по состоянию на 01.01.202</w:t>
      </w:r>
      <w:r w:rsidR="00C96122">
        <w:t>3</w:t>
      </w:r>
      <w:r w:rsidRPr="00232BA0">
        <w:t xml:space="preserve"> года составило </w:t>
      </w:r>
      <w:r w:rsidR="00C96122">
        <w:rPr>
          <w:b/>
        </w:rPr>
        <w:t>3194,1</w:t>
      </w:r>
      <w:r w:rsidRPr="00232BA0">
        <w:t xml:space="preserve"> тыс.</w:t>
      </w:r>
      <w:r w:rsidR="00C96122">
        <w:t xml:space="preserve"> </w:t>
      </w:r>
      <w:r w:rsidRPr="00232BA0">
        <w:t>рублей, в связи с не хваткой финансовых средств, в том числе по:</w:t>
      </w:r>
    </w:p>
    <w:p w14:paraId="7BB67DD4" w14:textId="48E56424" w:rsidR="001020FB" w:rsidRPr="00232BA0" w:rsidRDefault="001020FB" w:rsidP="001020FB">
      <w:pPr>
        <w:numPr>
          <w:ilvl w:val="0"/>
          <w:numId w:val="2"/>
        </w:numPr>
        <w:contextualSpacing/>
        <w:jc w:val="both"/>
      </w:pPr>
      <w:r w:rsidRPr="00232BA0">
        <w:t xml:space="preserve">электрическая энергия – </w:t>
      </w:r>
      <w:r w:rsidR="00C96122">
        <w:rPr>
          <w:b/>
        </w:rPr>
        <w:t>3190,7</w:t>
      </w:r>
      <w:r w:rsidRPr="00232BA0">
        <w:t xml:space="preserve"> </w:t>
      </w:r>
      <w:proofErr w:type="spellStart"/>
      <w:proofErr w:type="gramStart"/>
      <w:r w:rsidRPr="00232BA0">
        <w:t>тыс.рублей</w:t>
      </w:r>
      <w:proofErr w:type="spellEnd"/>
      <w:proofErr w:type="gramEnd"/>
      <w:r w:rsidRPr="00232BA0">
        <w:t>;</w:t>
      </w:r>
    </w:p>
    <w:p w14:paraId="23061FD5" w14:textId="416DE6B9" w:rsidR="001020FB" w:rsidRPr="00232BA0" w:rsidRDefault="001020FB" w:rsidP="001020FB">
      <w:pPr>
        <w:numPr>
          <w:ilvl w:val="0"/>
          <w:numId w:val="2"/>
        </w:numPr>
        <w:contextualSpacing/>
        <w:jc w:val="both"/>
      </w:pPr>
      <w:r w:rsidRPr="00232BA0">
        <w:t xml:space="preserve">водоснабжение </w:t>
      </w:r>
      <w:r w:rsidR="00C96122">
        <w:t>–</w:t>
      </w:r>
      <w:r w:rsidRPr="00232BA0">
        <w:t xml:space="preserve"> </w:t>
      </w:r>
      <w:r w:rsidR="00C96122">
        <w:rPr>
          <w:b/>
        </w:rPr>
        <w:t>7,4</w:t>
      </w:r>
      <w:r w:rsidRPr="00232BA0">
        <w:t xml:space="preserve"> </w:t>
      </w:r>
      <w:proofErr w:type="gramStart"/>
      <w:r w:rsidRPr="00232BA0">
        <w:t>т</w:t>
      </w:r>
      <w:proofErr w:type="spellStart"/>
      <w:r w:rsidRPr="00232BA0">
        <w:t>ыс.рублей</w:t>
      </w:r>
      <w:proofErr w:type="spellEnd"/>
      <w:proofErr w:type="gramEnd"/>
      <w:r w:rsidRPr="00232BA0">
        <w:t>.</w:t>
      </w:r>
    </w:p>
    <w:p w14:paraId="3D0004EC" w14:textId="0035AC66" w:rsidR="001020FB" w:rsidRPr="00232BA0" w:rsidRDefault="001020FB" w:rsidP="001020FB">
      <w:pPr>
        <w:ind w:firstLine="709"/>
        <w:jc w:val="both"/>
      </w:pPr>
      <w:r w:rsidRPr="00232BA0">
        <w:t xml:space="preserve">В бюджете города Ак-Довурак по дорожному фонду исполнение </w:t>
      </w:r>
      <w:proofErr w:type="gramStart"/>
      <w:r w:rsidRPr="00232BA0">
        <w:t>за</w:t>
      </w:r>
      <w:r>
        <w:t xml:space="preserve">  </w:t>
      </w:r>
      <w:r w:rsidRPr="00232BA0">
        <w:t>202</w:t>
      </w:r>
      <w:r>
        <w:t>2</w:t>
      </w:r>
      <w:proofErr w:type="gramEnd"/>
      <w:r w:rsidRPr="00232BA0">
        <w:t xml:space="preserve"> год составило до доходам </w:t>
      </w:r>
      <w:r w:rsidR="00C96122">
        <w:t>17979,1</w:t>
      </w:r>
      <w:r w:rsidRPr="00232BA0">
        <w:t xml:space="preserve"> </w:t>
      </w:r>
      <w:proofErr w:type="spellStart"/>
      <w:r w:rsidRPr="00232BA0">
        <w:t>тыс.рублей</w:t>
      </w:r>
      <w:proofErr w:type="spellEnd"/>
      <w:r w:rsidRPr="00232BA0">
        <w:t xml:space="preserve">, по расходам </w:t>
      </w:r>
      <w:r w:rsidR="00C96122">
        <w:t>18292,9</w:t>
      </w:r>
      <w:r w:rsidRPr="00232BA0">
        <w:t xml:space="preserve"> </w:t>
      </w:r>
      <w:r>
        <w:t xml:space="preserve"> </w:t>
      </w:r>
      <w:proofErr w:type="spellStart"/>
      <w:r w:rsidRPr="00232BA0">
        <w:t>тыс.рублей</w:t>
      </w:r>
      <w:proofErr w:type="spellEnd"/>
      <w:r w:rsidRPr="00232BA0">
        <w:t>, в том числе:</w:t>
      </w:r>
    </w:p>
    <w:p w14:paraId="44C9A3B5" w14:textId="0BB379AC" w:rsidR="001020FB" w:rsidRPr="00232BA0" w:rsidRDefault="001020FB" w:rsidP="001020FB">
      <w:pPr>
        <w:jc w:val="both"/>
      </w:pPr>
      <w:r w:rsidRPr="00232BA0">
        <w:t xml:space="preserve"> - по целевым средствам кассовый расход в сумме </w:t>
      </w:r>
      <w:r w:rsidR="00C96122">
        <w:t>16242,6</w:t>
      </w:r>
      <w:r w:rsidRPr="00232BA0">
        <w:t xml:space="preserve"> </w:t>
      </w:r>
      <w:proofErr w:type="spellStart"/>
      <w:proofErr w:type="gramStart"/>
      <w:r w:rsidRPr="00232BA0">
        <w:t>тыс.рублей</w:t>
      </w:r>
      <w:proofErr w:type="spellEnd"/>
      <w:proofErr w:type="gramEnd"/>
      <w:r w:rsidRPr="00232BA0">
        <w:t>,  план исполнен на</w:t>
      </w:r>
      <w:r w:rsidR="00C96122">
        <w:t xml:space="preserve"> 99</w:t>
      </w:r>
      <w:r w:rsidRPr="00232BA0">
        <w:t>% ;</w:t>
      </w:r>
    </w:p>
    <w:p w14:paraId="069A25A8" w14:textId="23C8CF62" w:rsidR="001020FB" w:rsidRPr="00232BA0" w:rsidRDefault="001020FB" w:rsidP="001020FB">
      <w:pPr>
        <w:jc w:val="both"/>
      </w:pPr>
      <w:r w:rsidRPr="00232BA0">
        <w:t xml:space="preserve"> - по собственным средствам </w:t>
      </w:r>
      <w:r w:rsidR="00C96122">
        <w:t xml:space="preserve">2050,3 </w:t>
      </w:r>
      <w:proofErr w:type="spellStart"/>
      <w:proofErr w:type="gramStart"/>
      <w:r w:rsidRPr="00232BA0">
        <w:t>тыс.рублей</w:t>
      </w:r>
      <w:proofErr w:type="spellEnd"/>
      <w:proofErr w:type="gramEnd"/>
      <w:r w:rsidRPr="00232BA0">
        <w:t xml:space="preserve">, исполнение составило </w:t>
      </w:r>
      <w:r w:rsidR="00C96122">
        <w:t>100</w:t>
      </w:r>
      <w:r w:rsidRPr="00232BA0">
        <w:t>% к плану.</w:t>
      </w:r>
    </w:p>
    <w:p w14:paraId="62A35BC5" w14:textId="371014A9" w:rsidR="001020FB" w:rsidRPr="00232BA0" w:rsidRDefault="001020FB" w:rsidP="001020FB">
      <w:pPr>
        <w:ind w:firstLine="567"/>
        <w:jc w:val="both"/>
      </w:pPr>
      <w:r w:rsidRPr="00232BA0">
        <w:t>Бюджет города Ак-Довурак за 202</w:t>
      </w:r>
      <w:r w:rsidR="00C96122">
        <w:t>2</w:t>
      </w:r>
      <w:r w:rsidRPr="00232BA0">
        <w:t xml:space="preserve"> год исполнен по расходам на </w:t>
      </w:r>
      <w:r w:rsidR="001D0712" w:rsidRPr="001D0712">
        <w:rPr>
          <w:b/>
          <w:bCs/>
        </w:rPr>
        <w:t>998416,6</w:t>
      </w:r>
      <w:r w:rsidRPr="00232BA0">
        <w:t xml:space="preserve"> тыс. рублей, по доходам </w:t>
      </w:r>
      <w:r w:rsidR="001D0712">
        <w:rPr>
          <w:b/>
          <w:bCs/>
        </w:rPr>
        <w:t>999954,3</w:t>
      </w:r>
      <w:r w:rsidRPr="00232BA0">
        <w:t xml:space="preserve"> тыс. рублей, с превышением доходов над расходами на </w:t>
      </w:r>
      <w:r w:rsidR="001D0712" w:rsidRPr="001D0712">
        <w:rPr>
          <w:b/>
          <w:bCs/>
        </w:rPr>
        <w:t>1537,7</w:t>
      </w:r>
      <w:r w:rsidRPr="00232BA0">
        <w:t xml:space="preserve"> тыс. рублей.</w:t>
      </w:r>
    </w:p>
    <w:p w14:paraId="0AC86963" w14:textId="77777777" w:rsidR="001020FB" w:rsidRPr="00232BA0" w:rsidRDefault="001020FB" w:rsidP="001020FB">
      <w:pPr>
        <w:jc w:val="both"/>
      </w:pPr>
    </w:p>
    <w:p w14:paraId="457FB08A" w14:textId="77777777" w:rsidR="001020FB" w:rsidRDefault="001020FB" w:rsidP="001020FB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Начальник </w:t>
      </w:r>
    </w:p>
    <w:p w14:paraId="4EA4731A" w14:textId="77777777" w:rsidR="001020FB" w:rsidRDefault="001020FB" w:rsidP="001020FB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Финансового управления </w:t>
      </w:r>
    </w:p>
    <w:p w14:paraId="47FC2015" w14:textId="316EB91E" w:rsidR="00AA1E5D" w:rsidRDefault="001020FB" w:rsidP="00CC0B85">
      <w:pP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г.Ак</w:t>
      </w:r>
      <w:proofErr w:type="spellEnd"/>
      <w:r>
        <w:rPr>
          <w:color w:val="000000"/>
        </w:rPr>
        <w:t>-</w:t>
      </w:r>
      <w:proofErr w:type="gramStart"/>
      <w:r>
        <w:rPr>
          <w:color w:val="000000"/>
        </w:rPr>
        <w:t xml:space="preserve">Довурак:   </w:t>
      </w:r>
      <w:proofErr w:type="gramEnd"/>
      <w:r>
        <w:rPr>
          <w:color w:val="000000"/>
        </w:rPr>
        <w:t xml:space="preserve">                                                                     </w:t>
      </w:r>
      <w:proofErr w:type="spellStart"/>
      <w:r>
        <w:rPr>
          <w:color w:val="000000"/>
        </w:rPr>
        <w:t>Сарыглар</w:t>
      </w:r>
      <w:proofErr w:type="spellEnd"/>
      <w:r>
        <w:rPr>
          <w:color w:val="000000"/>
        </w:rPr>
        <w:t xml:space="preserve"> А.А</w:t>
      </w:r>
    </w:p>
    <w:sectPr w:rsidR="00AA1E5D" w:rsidSect="00A93A6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F07CD" w14:textId="77777777" w:rsidR="003A3D0C" w:rsidRDefault="003A3D0C">
      <w:r>
        <w:separator/>
      </w:r>
    </w:p>
  </w:endnote>
  <w:endnote w:type="continuationSeparator" w:id="0">
    <w:p w14:paraId="2EBDA360" w14:textId="77777777" w:rsidR="003A3D0C" w:rsidRDefault="003A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CC58A" w14:textId="77777777" w:rsidR="003A3D0C" w:rsidRDefault="003A3D0C">
      <w:r>
        <w:separator/>
      </w:r>
    </w:p>
  </w:footnote>
  <w:footnote w:type="continuationSeparator" w:id="0">
    <w:p w14:paraId="117F810B" w14:textId="77777777" w:rsidR="003A3D0C" w:rsidRDefault="003A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56F13" w14:textId="77777777" w:rsidR="003B3DB4" w:rsidRDefault="00E07B72" w:rsidP="00E229C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3DB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931579" w14:textId="77777777" w:rsidR="003B3DB4" w:rsidRDefault="003B3DB4" w:rsidP="00E229C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63218" w14:textId="77777777" w:rsidR="003B3DB4" w:rsidRDefault="003B3DB4" w:rsidP="00E229CF">
    <w:pPr>
      <w:pStyle w:val="a4"/>
      <w:framePr w:wrap="around" w:vAnchor="text" w:hAnchor="margin" w:xAlign="right" w:y="1"/>
      <w:rPr>
        <w:rStyle w:val="a5"/>
      </w:rPr>
    </w:pPr>
  </w:p>
  <w:p w14:paraId="6ABC92E4" w14:textId="77777777" w:rsidR="003B3DB4" w:rsidRDefault="003B3DB4" w:rsidP="00E229C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D5E50"/>
    <w:multiLevelType w:val="hybridMultilevel"/>
    <w:tmpl w:val="C91022E2"/>
    <w:lvl w:ilvl="0" w:tplc="8C808A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D21226"/>
    <w:multiLevelType w:val="hybridMultilevel"/>
    <w:tmpl w:val="B6381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95C"/>
    <w:rsid w:val="000030EB"/>
    <w:rsid w:val="00004A14"/>
    <w:rsid w:val="0000776A"/>
    <w:rsid w:val="00010DBE"/>
    <w:rsid w:val="00011ACC"/>
    <w:rsid w:val="00013F97"/>
    <w:rsid w:val="000165F2"/>
    <w:rsid w:val="000178ED"/>
    <w:rsid w:val="00017FAB"/>
    <w:rsid w:val="00020335"/>
    <w:rsid w:val="00020D76"/>
    <w:rsid w:val="00020F95"/>
    <w:rsid w:val="000343A8"/>
    <w:rsid w:val="000358A7"/>
    <w:rsid w:val="00040C59"/>
    <w:rsid w:val="00041365"/>
    <w:rsid w:val="0004236E"/>
    <w:rsid w:val="0004305B"/>
    <w:rsid w:val="000454E2"/>
    <w:rsid w:val="00045DED"/>
    <w:rsid w:val="00055B1B"/>
    <w:rsid w:val="00062331"/>
    <w:rsid w:val="00062B7D"/>
    <w:rsid w:val="00067DEC"/>
    <w:rsid w:val="00075D12"/>
    <w:rsid w:val="00076C52"/>
    <w:rsid w:val="00077713"/>
    <w:rsid w:val="00091388"/>
    <w:rsid w:val="00092BC5"/>
    <w:rsid w:val="00094850"/>
    <w:rsid w:val="000B01D8"/>
    <w:rsid w:val="000B047D"/>
    <w:rsid w:val="000B1B80"/>
    <w:rsid w:val="000B1D2E"/>
    <w:rsid w:val="000B2280"/>
    <w:rsid w:val="000B59AB"/>
    <w:rsid w:val="000B6D00"/>
    <w:rsid w:val="000C1D89"/>
    <w:rsid w:val="000C3F61"/>
    <w:rsid w:val="000C67C0"/>
    <w:rsid w:val="000D03DE"/>
    <w:rsid w:val="000D1662"/>
    <w:rsid w:val="000D1F56"/>
    <w:rsid w:val="000D290B"/>
    <w:rsid w:val="000D37FD"/>
    <w:rsid w:val="000D3853"/>
    <w:rsid w:val="000D5065"/>
    <w:rsid w:val="000F3267"/>
    <w:rsid w:val="000F51C5"/>
    <w:rsid w:val="000F784F"/>
    <w:rsid w:val="001009BE"/>
    <w:rsid w:val="00100E9E"/>
    <w:rsid w:val="001020FB"/>
    <w:rsid w:val="00102F89"/>
    <w:rsid w:val="00107C06"/>
    <w:rsid w:val="00112F18"/>
    <w:rsid w:val="00117DCD"/>
    <w:rsid w:val="00124460"/>
    <w:rsid w:val="00126B17"/>
    <w:rsid w:val="00130EE2"/>
    <w:rsid w:val="001314C2"/>
    <w:rsid w:val="001330BC"/>
    <w:rsid w:val="00133AFF"/>
    <w:rsid w:val="001347F6"/>
    <w:rsid w:val="00134D8E"/>
    <w:rsid w:val="001379D5"/>
    <w:rsid w:val="00137DF8"/>
    <w:rsid w:val="001447F4"/>
    <w:rsid w:val="00144EC5"/>
    <w:rsid w:val="00161E62"/>
    <w:rsid w:val="0016346E"/>
    <w:rsid w:val="0017189B"/>
    <w:rsid w:val="00173485"/>
    <w:rsid w:val="001766B7"/>
    <w:rsid w:val="00180A3B"/>
    <w:rsid w:val="0018447C"/>
    <w:rsid w:val="001864E5"/>
    <w:rsid w:val="0018664F"/>
    <w:rsid w:val="001900AB"/>
    <w:rsid w:val="001951FE"/>
    <w:rsid w:val="00196D7C"/>
    <w:rsid w:val="001A199B"/>
    <w:rsid w:val="001A4830"/>
    <w:rsid w:val="001A5705"/>
    <w:rsid w:val="001A6B0C"/>
    <w:rsid w:val="001B21CF"/>
    <w:rsid w:val="001B77F1"/>
    <w:rsid w:val="001C50A0"/>
    <w:rsid w:val="001C551E"/>
    <w:rsid w:val="001C5E66"/>
    <w:rsid w:val="001D0712"/>
    <w:rsid w:val="001D21D4"/>
    <w:rsid w:val="001D6AB6"/>
    <w:rsid w:val="001D74A9"/>
    <w:rsid w:val="001E2822"/>
    <w:rsid w:val="001E38C1"/>
    <w:rsid w:val="001E461F"/>
    <w:rsid w:val="001E4851"/>
    <w:rsid w:val="001F22AE"/>
    <w:rsid w:val="001F7513"/>
    <w:rsid w:val="001F761F"/>
    <w:rsid w:val="001F7973"/>
    <w:rsid w:val="002011CB"/>
    <w:rsid w:val="0020260C"/>
    <w:rsid w:val="00204F0E"/>
    <w:rsid w:val="00212BB9"/>
    <w:rsid w:val="0021669A"/>
    <w:rsid w:val="00222914"/>
    <w:rsid w:val="002245A6"/>
    <w:rsid w:val="002255F4"/>
    <w:rsid w:val="002268FF"/>
    <w:rsid w:val="00230373"/>
    <w:rsid w:val="00231D65"/>
    <w:rsid w:val="00232969"/>
    <w:rsid w:val="00232D0C"/>
    <w:rsid w:val="00244EB8"/>
    <w:rsid w:val="002463DB"/>
    <w:rsid w:val="002469EB"/>
    <w:rsid w:val="00250E03"/>
    <w:rsid w:val="00255A58"/>
    <w:rsid w:val="00261D7F"/>
    <w:rsid w:val="00263BDB"/>
    <w:rsid w:val="00265A1B"/>
    <w:rsid w:val="002665E1"/>
    <w:rsid w:val="00266A88"/>
    <w:rsid w:val="002708B8"/>
    <w:rsid w:val="00273507"/>
    <w:rsid w:val="0027497C"/>
    <w:rsid w:val="002749AE"/>
    <w:rsid w:val="00274D2C"/>
    <w:rsid w:val="002811D2"/>
    <w:rsid w:val="00281549"/>
    <w:rsid w:val="0028463D"/>
    <w:rsid w:val="00286BA5"/>
    <w:rsid w:val="002919DE"/>
    <w:rsid w:val="00291E24"/>
    <w:rsid w:val="002A0D49"/>
    <w:rsid w:val="002A3EDB"/>
    <w:rsid w:val="002A3FAE"/>
    <w:rsid w:val="002A5217"/>
    <w:rsid w:val="002B2E2E"/>
    <w:rsid w:val="002C0768"/>
    <w:rsid w:val="002C15C2"/>
    <w:rsid w:val="002C28C9"/>
    <w:rsid w:val="002C4F9C"/>
    <w:rsid w:val="002C5202"/>
    <w:rsid w:val="002C609F"/>
    <w:rsid w:val="002C6831"/>
    <w:rsid w:val="002D0A5A"/>
    <w:rsid w:val="002D0F8E"/>
    <w:rsid w:val="002D7ECE"/>
    <w:rsid w:val="002E02D0"/>
    <w:rsid w:val="002E171E"/>
    <w:rsid w:val="002E1E73"/>
    <w:rsid w:val="002E2451"/>
    <w:rsid w:val="002E41C2"/>
    <w:rsid w:val="002F270D"/>
    <w:rsid w:val="00305CE5"/>
    <w:rsid w:val="00306DFD"/>
    <w:rsid w:val="003076A3"/>
    <w:rsid w:val="0032184C"/>
    <w:rsid w:val="00324234"/>
    <w:rsid w:val="003260B9"/>
    <w:rsid w:val="00340B72"/>
    <w:rsid w:val="00342B53"/>
    <w:rsid w:val="003447A7"/>
    <w:rsid w:val="00361AAB"/>
    <w:rsid w:val="00362557"/>
    <w:rsid w:val="003628F1"/>
    <w:rsid w:val="0036360D"/>
    <w:rsid w:val="003637CC"/>
    <w:rsid w:val="00363856"/>
    <w:rsid w:val="00365763"/>
    <w:rsid w:val="003743AC"/>
    <w:rsid w:val="003746FC"/>
    <w:rsid w:val="003753E1"/>
    <w:rsid w:val="00380437"/>
    <w:rsid w:val="003851D9"/>
    <w:rsid w:val="003853A1"/>
    <w:rsid w:val="003867DB"/>
    <w:rsid w:val="00386A6C"/>
    <w:rsid w:val="003902FE"/>
    <w:rsid w:val="00396690"/>
    <w:rsid w:val="003975DF"/>
    <w:rsid w:val="003A042E"/>
    <w:rsid w:val="003A3D0C"/>
    <w:rsid w:val="003A5428"/>
    <w:rsid w:val="003A619E"/>
    <w:rsid w:val="003B0D9A"/>
    <w:rsid w:val="003B124B"/>
    <w:rsid w:val="003B3DB4"/>
    <w:rsid w:val="003C4810"/>
    <w:rsid w:val="003C5196"/>
    <w:rsid w:val="003D0E4D"/>
    <w:rsid w:val="003D7528"/>
    <w:rsid w:val="003E2690"/>
    <w:rsid w:val="003F331A"/>
    <w:rsid w:val="004068DB"/>
    <w:rsid w:val="00406F7F"/>
    <w:rsid w:val="0041053C"/>
    <w:rsid w:val="004107A6"/>
    <w:rsid w:val="00414E2A"/>
    <w:rsid w:val="00420F46"/>
    <w:rsid w:val="00421A9A"/>
    <w:rsid w:val="0042298C"/>
    <w:rsid w:val="00423134"/>
    <w:rsid w:val="004242CA"/>
    <w:rsid w:val="004322B6"/>
    <w:rsid w:val="00433AE5"/>
    <w:rsid w:val="004442E9"/>
    <w:rsid w:val="00444ED1"/>
    <w:rsid w:val="00445B1A"/>
    <w:rsid w:val="00446A67"/>
    <w:rsid w:val="00463E15"/>
    <w:rsid w:val="004664BC"/>
    <w:rsid w:val="00473D79"/>
    <w:rsid w:val="00477F7A"/>
    <w:rsid w:val="00480F7A"/>
    <w:rsid w:val="00481173"/>
    <w:rsid w:val="00481224"/>
    <w:rsid w:val="00487086"/>
    <w:rsid w:val="004947AE"/>
    <w:rsid w:val="00494EB9"/>
    <w:rsid w:val="00496C8B"/>
    <w:rsid w:val="004A23D9"/>
    <w:rsid w:val="004A6FC3"/>
    <w:rsid w:val="004B146A"/>
    <w:rsid w:val="004B23A2"/>
    <w:rsid w:val="004B638E"/>
    <w:rsid w:val="004C154D"/>
    <w:rsid w:val="004C2FF3"/>
    <w:rsid w:val="004C4B15"/>
    <w:rsid w:val="004C572F"/>
    <w:rsid w:val="004C631E"/>
    <w:rsid w:val="004C75DF"/>
    <w:rsid w:val="004D2A4C"/>
    <w:rsid w:val="004D2CF1"/>
    <w:rsid w:val="004D3F40"/>
    <w:rsid w:val="004D4434"/>
    <w:rsid w:val="004D46F7"/>
    <w:rsid w:val="004D6BA5"/>
    <w:rsid w:val="004E169B"/>
    <w:rsid w:val="004E6316"/>
    <w:rsid w:val="004E6A14"/>
    <w:rsid w:val="004F0891"/>
    <w:rsid w:val="004F7A46"/>
    <w:rsid w:val="00503862"/>
    <w:rsid w:val="005115CF"/>
    <w:rsid w:val="005142BE"/>
    <w:rsid w:val="005176B3"/>
    <w:rsid w:val="0052062B"/>
    <w:rsid w:val="005209EF"/>
    <w:rsid w:val="005223B3"/>
    <w:rsid w:val="0052271E"/>
    <w:rsid w:val="00522A24"/>
    <w:rsid w:val="0052523F"/>
    <w:rsid w:val="005346CF"/>
    <w:rsid w:val="00542639"/>
    <w:rsid w:val="00546EAB"/>
    <w:rsid w:val="00553160"/>
    <w:rsid w:val="005537B9"/>
    <w:rsid w:val="00555615"/>
    <w:rsid w:val="005627A5"/>
    <w:rsid w:val="00563E73"/>
    <w:rsid w:val="005716A1"/>
    <w:rsid w:val="005748F7"/>
    <w:rsid w:val="005769FB"/>
    <w:rsid w:val="00577CB6"/>
    <w:rsid w:val="00585550"/>
    <w:rsid w:val="005921C7"/>
    <w:rsid w:val="0059395A"/>
    <w:rsid w:val="00594E9A"/>
    <w:rsid w:val="005954C6"/>
    <w:rsid w:val="005A2F84"/>
    <w:rsid w:val="005A59E8"/>
    <w:rsid w:val="005B06A4"/>
    <w:rsid w:val="005B29E6"/>
    <w:rsid w:val="005B786C"/>
    <w:rsid w:val="005C2EC6"/>
    <w:rsid w:val="005C6EB3"/>
    <w:rsid w:val="005D783A"/>
    <w:rsid w:val="005D789F"/>
    <w:rsid w:val="005E47F3"/>
    <w:rsid w:val="005F1187"/>
    <w:rsid w:val="005F2E52"/>
    <w:rsid w:val="005F38CB"/>
    <w:rsid w:val="005F5DA5"/>
    <w:rsid w:val="00603F14"/>
    <w:rsid w:val="00606BF8"/>
    <w:rsid w:val="0061034A"/>
    <w:rsid w:val="00610EC5"/>
    <w:rsid w:val="00611932"/>
    <w:rsid w:val="0061460D"/>
    <w:rsid w:val="00624C9C"/>
    <w:rsid w:val="00625577"/>
    <w:rsid w:val="00625A04"/>
    <w:rsid w:val="00627BBA"/>
    <w:rsid w:val="0063558C"/>
    <w:rsid w:val="006369DD"/>
    <w:rsid w:val="00637CF5"/>
    <w:rsid w:val="00640570"/>
    <w:rsid w:val="00643EC0"/>
    <w:rsid w:val="0064456D"/>
    <w:rsid w:val="00644574"/>
    <w:rsid w:val="006448C5"/>
    <w:rsid w:val="00646DE9"/>
    <w:rsid w:val="00651A0B"/>
    <w:rsid w:val="00655368"/>
    <w:rsid w:val="006619EA"/>
    <w:rsid w:val="00663531"/>
    <w:rsid w:val="0066451F"/>
    <w:rsid w:val="0067370E"/>
    <w:rsid w:val="0067385C"/>
    <w:rsid w:val="00674102"/>
    <w:rsid w:val="00674E5E"/>
    <w:rsid w:val="006809B4"/>
    <w:rsid w:val="00680C02"/>
    <w:rsid w:val="006863B2"/>
    <w:rsid w:val="006923C0"/>
    <w:rsid w:val="0069558C"/>
    <w:rsid w:val="006A263A"/>
    <w:rsid w:val="006A2E4D"/>
    <w:rsid w:val="006A2EFF"/>
    <w:rsid w:val="006A5208"/>
    <w:rsid w:val="006B21B1"/>
    <w:rsid w:val="006B28EF"/>
    <w:rsid w:val="006B543E"/>
    <w:rsid w:val="006C0B12"/>
    <w:rsid w:val="006C0DDD"/>
    <w:rsid w:val="006C219F"/>
    <w:rsid w:val="006C4FB4"/>
    <w:rsid w:val="006C5543"/>
    <w:rsid w:val="006C7A0E"/>
    <w:rsid w:val="006D45EE"/>
    <w:rsid w:val="006E1F1E"/>
    <w:rsid w:val="006E2160"/>
    <w:rsid w:val="006E6061"/>
    <w:rsid w:val="006E7FE1"/>
    <w:rsid w:val="006F0A2F"/>
    <w:rsid w:val="006F52BD"/>
    <w:rsid w:val="006F64AC"/>
    <w:rsid w:val="00702922"/>
    <w:rsid w:val="00705AEE"/>
    <w:rsid w:val="00711485"/>
    <w:rsid w:val="00712194"/>
    <w:rsid w:val="007125AE"/>
    <w:rsid w:val="0071297E"/>
    <w:rsid w:val="00715ED5"/>
    <w:rsid w:val="00716F28"/>
    <w:rsid w:val="00717229"/>
    <w:rsid w:val="0072350D"/>
    <w:rsid w:val="00730CB7"/>
    <w:rsid w:val="007335E4"/>
    <w:rsid w:val="00733E2F"/>
    <w:rsid w:val="00737C16"/>
    <w:rsid w:val="007419B9"/>
    <w:rsid w:val="0074335E"/>
    <w:rsid w:val="00757201"/>
    <w:rsid w:val="00757FDF"/>
    <w:rsid w:val="007747E1"/>
    <w:rsid w:val="00776A97"/>
    <w:rsid w:val="007773A4"/>
    <w:rsid w:val="00780179"/>
    <w:rsid w:val="00781170"/>
    <w:rsid w:val="0078379E"/>
    <w:rsid w:val="00783A6A"/>
    <w:rsid w:val="0078567E"/>
    <w:rsid w:val="00792985"/>
    <w:rsid w:val="00795270"/>
    <w:rsid w:val="007978D3"/>
    <w:rsid w:val="007A03FF"/>
    <w:rsid w:val="007A5C2A"/>
    <w:rsid w:val="007A7C97"/>
    <w:rsid w:val="007B1193"/>
    <w:rsid w:val="007B21CA"/>
    <w:rsid w:val="007B2517"/>
    <w:rsid w:val="007B50B5"/>
    <w:rsid w:val="007B51B5"/>
    <w:rsid w:val="007B53BB"/>
    <w:rsid w:val="007B6915"/>
    <w:rsid w:val="007C4409"/>
    <w:rsid w:val="007C7791"/>
    <w:rsid w:val="007D0C6A"/>
    <w:rsid w:val="007D4CC5"/>
    <w:rsid w:val="007E4AF8"/>
    <w:rsid w:val="007E6DED"/>
    <w:rsid w:val="007E73B5"/>
    <w:rsid w:val="007F05AD"/>
    <w:rsid w:val="007F2BB5"/>
    <w:rsid w:val="007F3A10"/>
    <w:rsid w:val="007F595F"/>
    <w:rsid w:val="00805FB3"/>
    <w:rsid w:val="00813125"/>
    <w:rsid w:val="0081489C"/>
    <w:rsid w:val="00817C35"/>
    <w:rsid w:val="008245D8"/>
    <w:rsid w:val="00824632"/>
    <w:rsid w:val="008258F4"/>
    <w:rsid w:val="00837506"/>
    <w:rsid w:val="00842B96"/>
    <w:rsid w:val="008467A8"/>
    <w:rsid w:val="00847169"/>
    <w:rsid w:val="00847E9B"/>
    <w:rsid w:val="00853DC0"/>
    <w:rsid w:val="00856D85"/>
    <w:rsid w:val="0086042A"/>
    <w:rsid w:val="00860B82"/>
    <w:rsid w:val="00861675"/>
    <w:rsid w:val="008649D1"/>
    <w:rsid w:val="00867507"/>
    <w:rsid w:val="0086750D"/>
    <w:rsid w:val="008846AD"/>
    <w:rsid w:val="00887804"/>
    <w:rsid w:val="0089114A"/>
    <w:rsid w:val="00892C12"/>
    <w:rsid w:val="008938E0"/>
    <w:rsid w:val="0089480E"/>
    <w:rsid w:val="00895266"/>
    <w:rsid w:val="00897746"/>
    <w:rsid w:val="008A5A86"/>
    <w:rsid w:val="008A5D5E"/>
    <w:rsid w:val="008B16B6"/>
    <w:rsid w:val="008B65E3"/>
    <w:rsid w:val="008C1DCC"/>
    <w:rsid w:val="008C35B6"/>
    <w:rsid w:val="008D13F5"/>
    <w:rsid w:val="008D4EDA"/>
    <w:rsid w:val="008D5AC5"/>
    <w:rsid w:val="008E13F0"/>
    <w:rsid w:val="008E3365"/>
    <w:rsid w:val="008E53C8"/>
    <w:rsid w:val="008F2FAD"/>
    <w:rsid w:val="008F499F"/>
    <w:rsid w:val="008F71F8"/>
    <w:rsid w:val="00901CB1"/>
    <w:rsid w:val="00902E7D"/>
    <w:rsid w:val="0091026B"/>
    <w:rsid w:val="00914441"/>
    <w:rsid w:val="00920836"/>
    <w:rsid w:val="00922BD7"/>
    <w:rsid w:val="00923625"/>
    <w:rsid w:val="00926411"/>
    <w:rsid w:val="009277CE"/>
    <w:rsid w:val="00951386"/>
    <w:rsid w:val="009522F8"/>
    <w:rsid w:val="00957149"/>
    <w:rsid w:val="00960988"/>
    <w:rsid w:val="00962262"/>
    <w:rsid w:val="00963904"/>
    <w:rsid w:val="00977E9A"/>
    <w:rsid w:val="00981095"/>
    <w:rsid w:val="00981E61"/>
    <w:rsid w:val="00982271"/>
    <w:rsid w:val="00985591"/>
    <w:rsid w:val="0099624C"/>
    <w:rsid w:val="009A55C2"/>
    <w:rsid w:val="009B1B93"/>
    <w:rsid w:val="009B67F3"/>
    <w:rsid w:val="009C126B"/>
    <w:rsid w:val="009C482F"/>
    <w:rsid w:val="009D1CC0"/>
    <w:rsid w:val="009D4AF4"/>
    <w:rsid w:val="009D5553"/>
    <w:rsid w:val="009D58B2"/>
    <w:rsid w:val="009D6399"/>
    <w:rsid w:val="009E13D4"/>
    <w:rsid w:val="009E2CEF"/>
    <w:rsid w:val="009E6574"/>
    <w:rsid w:val="009E69CE"/>
    <w:rsid w:val="009E6E75"/>
    <w:rsid w:val="009E7717"/>
    <w:rsid w:val="009F07E1"/>
    <w:rsid w:val="009F1D1A"/>
    <w:rsid w:val="009F600F"/>
    <w:rsid w:val="009F71C0"/>
    <w:rsid w:val="00A009F4"/>
    <w:rsid w:val="00A02BB1"/>
    <w:rsid w:val="00A041D9"/>
    <w:rsid w:val="00A04542"/>
    <w:rsid w:val="00A05412"/>
    <w:rsid w:val="00A05430"/>
    <w:rsid w:val="00A10CBB"/>
    <w:rsid w:val="00A11B98"/>
    <w:rsid w:val="00A1308A"/>
    <w:rsid w:val="00A17927"/>
    <w:rsid w:val="00A233AA"/>
    <w:rsid w:val="00A27CDE"/>
    <w:rsid w:val="00A322E7"/>
    <w:rsid w:val="00A3368F"/>
    <w:rsid w:val="00A37DBB"/>
    <w:rsid w:val="00A4406C"/>
    <w:rsid w:val="00A44232"/>
    <w:rsid w:val="00A46130"/>
    <w:rsid w:val="00A4653C"/>
    <w:rsid w:val="00A467B8"/>
    <w:rsid w:val="00A5101B"/>
    <w:rsid w:val="00A549B0"/>
    <w:rsid w:val="00A62E40"/>
    <w:rsid w:val="00A7065D"/>
    <w:rsid w:val="00A7159A"/>
    <w:rsid w:val="00A71801"/>
    <w:rsid w:val="00A73CEA"/>
    <w:rsid w:val="00A7433D"/>
    <w:rsid w:val="00A80C25"/>
    <w:rsid w:val="00A82096"/>
    <w:rsid w:val="00A82765"/>
    <w:rsid w:val="00A92994"/>
    <w:rsid w:val="00A932AE"/>
    <w:rsid w:val="00A93A6A"/>
    <w:rsid w:val="00A9546B"/>
    <w:rsid w:val="00A95BD3"/>
    <w:rsid w:val="00A979E8"/>
    <w:rsid w:val="00AA1E5D"/>
    <w:rsid w:val="00AA4A8F"/>
    <w:rsid w:val="00AA63E4"/>
    <w:rsid w:val="00AB0C72"/>
    <w:rsid w:val="00AB46DE"/>
    <w:rsid w:val="00AB5C5E"/>
    <w:rsid w:val="00AB65CE"/>
    <w:rsid w:val="00AC2F64"/>
    <w:rsid w:val="00AC4440"/>
    <w:rsid w:val="00AC6789"/>
    <w:rsid w:val="00AD1CA8"/>
    <w:rsid w:val="00AD48BD"/>
    <w:rsid w:val="00AD7B53"/>
    <w:rsid w:val="00AE31EC"/>
    <w:rsid w:val="00AE5588"/>
    <w:rsid w:val="00AE6D9B"/>
    <w:rsid w:val="00AE7B8B"/>
    <w:rsid w:val="00AF1718"/>
    <w:rsid w:val="00B03B90"/>
    <w:rsid w:val="00B04623"/>
    <w:rsid w:val="00B124E1"/>
    <w:rsid w:val="00B17FAF"/>
    <w:rsid w:val="00B2195C"/>
    <w:rsid w:val="00B24D39"/>
    <w:rsid w:val="00B265BC"/>
    <w:rsid w:val="00B34070"/>
    <w:rsid w:val="00B378D2"/>
    <w:rsid w:val="00B403CE"/>
    <w:rsid w:val="00B43167"/>
    <w:rsid w:val="00B45846"/>
    <w:rsid w:val="00B472AB"/>
    <w:rsid w:val="00B4792C"/>
    <w:rsid w:val="00B50612"/>
    <w:rsid w:val="00B51411"/>
    <w:rsid w:val="00B55F56"/>
    <w:rsid w:val="00B60A7A"/>
    <w:rsid w:val="00B62966"/>
    <w:rsid w:val="00B66A7F"/>
    <w:rsid w:val="00B67305"/>
    <w:rsid w:val="00B700B4"/>
    <w:rsid w:val="00B7550A"/>
    <w:rsid w:val="00B75AEF"/>
    <w:rsid w:val="00B8379F"/>
    <w:rsid w:val="00B83ED1"/>
    <w:rsid w:val="00B901F6"/>
    <w:rsid w:val="00B90478"/>
    <w:rsid w:val="00B9327C"/>
    <w:rsid w:val="00B96CA1"/>
    <w:rsid w:val="00BA2677"/>
    <w:rsid w:val="00BA569F"/>
    <w:rsid w:val="00BA71E1"/>
    <w:rsid w:val="00BB0E67"/>
    <w:rsid w:val="00BB1160"/>
    <w:rsid w:val="00BB5CFB"/>
    <w:rsid w:val="00BC0BA9"/>
    <w:rsid w:val="00BC19A4"/>
    <w:rsid w:val="00BC5D52"/>
    <w:rsid w:val="00BC76CD"/>
    <w:rsid w:val="00BC7F3D"/>
    <w:rsid w:val="00BD0241"/>
    <w:rsid w:val="00BD1610"/>
    <w:rsid w:val="00BD3164"/>
    <w:rsid w:val="00BD3ED8"/>
    <w:rsid w:val="00BD5B6E"/>
    <w:rsid w:val="00BE22DA"/>
    <w:rsid w:val="00BE4867"/>
    <w:rsid w:val="00BE62E7"/>
    <w:rsid w:val="00BF0544"/>
    <w:rsid w:val="00BF3EF1"/>
    <w:rsid w:val="00BF4C23"/>
    <w:rsid w:val="00BF68F3"/>
    <w:rsid w:val="00C07A1B"/>
    <w:rsid w:val="00C108A8"/>
    <w:rsid w:val="00C2000F"/>
    <w:rsid w:val="00C203C0"/>
    <w:rsid w:val="00C20A94"/>
    <w:rsid w:val="00C259C3"/>
    <w:rsid w:val="00C26FC4"/>
    <w:rsid w:val="00C40932"/>
    <w:rsid w:val="00C45CA6"/>
    <w:rsid w:val="00C473D8"/>
    <w:rsid w:val="00C55D09"/>
    <w:rsid w:val="00C60219"/>
    <w:rsid w:val="00C61470"/>
    <w:rsid w:val="00C65F86"/>
    <w:rsid w:val="00C72867"/>
    <w:rsid w:val="00C735F8"/>
    <w:rsid w:val="00C73D94"/>
    <w:rsid w:val="00C7467B"/>
    <w:rsid w:val="00C77409"/>
    <w:rsid w:val="00C80C9E"/>
    <w:rsid w:val="00C819AC"/>
    <w:rsid w:val="00C8773D"/>
    <w:rsid w:val="00C912BC"/>
    <w:rsid w:val="00C940D4"/>
    <w:rsid w:val="00C96122"/>
    <w:rsid w:val="00C96599"/>
    <w:rsid w:val="00CA58DB"/>
    <w:rsid w:val="00CA6683"/>
    <w:rsid w:val="00CB10D5"/>
    <w:rsid w:val="00CB5322"/>
    <w:rsid w:val="00CB7084"/>
    <w:rsid w:val="00CB7800"/>
    <w:rsid w:val="00CB7D0B"/>
    <w:rsid w:val="00CC0B85"/>
    <w:rsid w:val="00CC11EA"/>
    <w:rsid w:val="00CC2584"/>
    <w:rsid w:val="00CD144E"/>
    <w:rsid w:val="00CD2740"/>
    <w:rsid w:val="00CD308D"/>
    <w:rsid w:val="00CD3570"/>
    <w:rsid w:val="00CD4583"/>
    <w:rsid w:val="00CD4717"/>
    <w:rsid w:val="00CD5620"/>
    <w:rsid w:val="00CD5CB2"/>
    <w:rsid w:val="00CE0A48"/>
    <w:rsid w:val="00CF0E48"/>
    <w:rsid w:val="00CF1041"/>
    <w:rsid w:val="00CF6019"/>
    <w:rsid w:val="00D003AA"/>
    <w:rsid w:val="00D0338A"/>
    <w:rsid w:val="00D0718B"/>
    <w:rsid w:val="00D07584"/>
    <w:rsid w:val="00D10731"/>
    <w:rsid w:val="00D10F42"/>
    <w:rsid w:val="00D12824"/>
    <w:rsid w:val="00D14198"/>
    <w:rsid w:val="00D15C8F"/>
    <w:rsid w:val="00D164C4"/>
    <w:rsid w:val="00D17F1E"/>
    <w:rsid w:val="00D2545F"/>
    <w:rsid w:val="00D2658C"/>
    <w:rsid w:val="00D26C90"/>
    <w:rsid w:val="00D270D6"/>
    <w:rsid w:val="00D27E38"/>
    <w:rsid w:val="00D27F2C"/>
    <w:rsid w:val="00D30BAE"/>
    <w:rsid w:val="00D44F26"/>
    <w:rsid w:val="00D45540"/>
    <w:rsid w:val="00D4648B"/>
    <w:rsid w:val="00D546A7"/>
    <w:rsid w:val="00D54957"/>
    <w:rsid w:val="00D54C7C"/>
    <w:rsid w:val="00D557DA"/>
    <w:rsid w:val="00D5688B"/>
    <w:rsid w:val="00D636BB"/>
    <w:rsid w:val="00D63E06"/>
    <w:rsid w:val="00D65DAF"/>
    <w:rsid w:val="00D76BEB"/>
    <w:rsid w:val="00D80506"/>
    <w:rsid w:val="00D86938"/>
    <w:rsid w:val="00D87DEB"/>
    <w:rsid w:val="00D909EC"/>
    <w:rsid w:val="00D978D1"/>
    <w:rsid w:val="00DA14D7"/>
    <w:rsid w:val="00DA3A6A"/>
    <w:rsid w:val="00DA4E60"/>
    <w:rsid w:val="00DA5CA1"/>
    <w:rsid w:val="00DA6F8F"/>
    <w:rsid w:val="00DB2A60"/>
    <w:rsid w:val="00DB3E55"/>
    <w:rsid w:val="00DB4753"/>
    <w:rsid w:val="00DB58C2"/>
    <w:rsid w:val="00DB6CA1"/>
    <w:rsid w:val="00DC4A12"/>
    <w:rsid w:val="00DD31EC"/>
    <w:rsid w:val="00DD33AC"/>
    <w:rsid w:val="00DD5A50"/>
    <w:rsid w:val="00DD67DE"/>
    <w:rsid w:val="00DE08E7"/>
    <w:rsid w:val="00DF1DF6"/>
    <w:rsid w:val="00DF3556"/>
    <w:rsid w:val="00DF5375"/>
    <w:rsid w:val="00E00903"/>
    <w:rsid w:val="00E01CE3"/>
    <w:rsid w:val="00E06B1C"/>
    <w:rsid w:val="00E07B72"/>
    <w:rsid w:val="00E10B98"/>
    <w:rsid w:val="00E13B07"/>
    <w:rsid w:val="00E13DBF"/>
    <w:rsid w:val="00E1704E"/>
    <w:rsid w:val="00E229CF"/>
    <w:rsid w:val="00E275AC"/>
    <w:rsid w:val="00E32383"/>
    <w:rsid w:val="00E347E5"/>
    <w:rsid w:val="00E4162F"/>
    <w:rsid w:val="00E55A5F"/>
    <w:rsid w:val="00E55DF7"/>
    <w:rsid w:val="00E631BE"/>
    <w:rsid w:val="00E64568"/>
    <w:rsid w:val="00E80296"/>
    <w:rsid w:val="00E80506"/>
    <w:rsid w:val="00E80534"/>
    <w:rsid w:val="00E80D94"/>
    <w:rsid w:val="00E83F19"/>
    <w:rsid w:val="00E843B4"/>
    <w:rsid w:val="00E849F0"/>
    <w:rsid w:val="00E957EA"/>
    <w:rsid w:val="00EA154C"/>
    <w:rsid w:val="00EA6A66"/>
    <w:rsid w:val="00EA7A5D"/>
    <w:rsid w:val="00EB0F87"/>
    <w:rsid w:val="00EB4805"/>
    <w:rsid w:val="00EC0730"/>
    <w:rsid w:val="00EC2B22"/>
    <w:rsid w:val="00ED255F"/>
    <w:rsid w:val="00ED3E31"/>
    <w:rsid w:val="00ED62FE"/>
    <w:rsid w:val="00EE2A47"/>
    <w:rsid w:val="00EE5A4F"/>
    <w:rsid w:val="00EE7429"/>
    <w:rsid w:val="00EF4EEA"/>
    <w:rsid w:val="00F01C42"/>
    <w:rsid w:val="00F06120"/>
    <w:rsid w:val="00F10283"/>
    <w:rsid w:val="00F105EC"/>
    <w:rsid w:val="00F1113C"/>
    <w:rsid w:val="00F16AC0"/>
    <w:rsid w:val="00F2343D"/>
    <w:rsid w:val="00F24A6D"/>
    <w:rsid w:val="00F31810"/>
    <w:rsid w:val="00F31A4A"/>
    <w:rsid w:val="00F320A6"/>
    <w:rsid w:val="00F34AAB"/>
    <w:rsid w:val="00F34DBB"/>
    <w:rsid w:val="00F35459"/>
    <w:rsid w:val="00F40B1C"/>
    <w:rsid w:val="00F47B4E"/>
    <w:rsid w:val="00F5324F"/>
    <w:rsid w:val="00F56E82"/>
    <w:rsid w:val="00F62154"/>
    <w:rsid w:val="00F7070F"/>
    <w:rsid w:val="00F71C7B"/>
    <w:rsid w:val="00F72A69"/>
    <w:rsid w:val="00F83F3F"/>
    <w:rsid w:val="00F87F58"/>
    <w:rsid w:val="00F90BD0"/>
    <w:rsid w:val="00F923DF"/>
    <w:rsid w:val="00F958FF"/>
    <w:rsid w:val="00F95CA1"/>
    <w:rsid w:val="00F9631F"/>
    <w:rsid w:val="00FA18AA"/>
    <w:rsid w:val="00FA1BEC"/>
    <w:rsid w:val="00FA472C"/>
    <w:rsid w:val="00FA5599"/>
    <w:rsid w:val="00FB6857"/>
    <w:rsid w:val="00FB7DE0"/>
    <w:rsid w:val="00FC13AA"/>
    <w:rsid w:val="00FC2D83"/>
    <w:rsid w:val="00FC30DE"/>
    <w:rsid w:val="00FD07E7"/>
    <w:rsid w:val="00FD4EA1"/>
    <w:rsid w:val="00FD57AF"/>
    <w:rsid w:val="00FE1FDB"/>
    <w:rsid w:val="00FE550F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06E41"/>
  <w15:docId w15:val="{95DEF36F-FBA6-43B6-8312-F7CB88A6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195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B2195C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B219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195C"/>
  </w:style>
  <w:style w:type="paragraph" w:styleId="a6">
    <w:name w:val="Balloon Text"/>
    <w:basedOn w:val="a"/>
    <w:semiHidden/>
    <w:rsid w:val="00FB7DE0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161E62"/>
    <w:pPr>
      <w:tabs>
        <w:tab w:val="center" w:pos="4677"/>
        <w:tab w:val="right" w:pos="9355"/>
      </w:tabs>
    </w:pPr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9"/>
    <w:uiPriority w:val="34"/>
    <w:qFormat/>
    <w:rsid w:val="00860B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092BC5"/>
  </w:style>
  <w:style w:type="character" w:customStyle="1" w:styleId="b">
    <w:name w:val="b"/>
    <w:basedOn w:val="a0"/>
    <w:rsid w:val="00092BC5"/>
  </w:style>
  <w:style w:type="character" w:customStyle="1" w:styleId="apple-converted-space">
    <w:name w:val="apple-converted-space"/>
    <w:basedOn w:val="a0"/>
    <w:rsid w:val="00092BC5"/>
  </w:style>
  <w:style w:type="character" w:styleId="aa">
    <w:name w:val="Hyperlink"/>
    <w:basedOn w:val="a0"/>
    <w:uiPriority w:val="99"/>
    <w:unhideWhenUsed/>
    <w:rsid w:val="00092BC5"/>
    <w:rPr>
      <w:color w:val="0000FF"/>
      <w:u w:val="single"/>
    </w:r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8"/>
    <w:uiPriority w:val="34"/>
    <w:locked/>
    <w:rsid w:val="00AA1E5D"/>
    <w:rPr>
      <w:rFonts w:ascii="Calibri" w:eastAsia="Calibri" w:hAnsi="Calibri"/>
      <w:sz w:val="22"/>
      <w:szCs w:val="22"/>
      <w:lang w:eastAsia="en-US"/>
    </w:rPr>
  </w:style>
  <w:style w:type="paragraph" w:styleId="ab">
    <w:name w:val="caption"/>
    <w:basedOn w:val="a"/>
    <w:next w:val="a"/>
    <w:unhideWhenUsed/>
    <w:qFormat/>
    <w:rsid w:val="005921C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/>
              <a:t>Структура налоговых и неналоговых доходов </a:t>
            </a:r>
            <a:r>
              <a:rPr lang="ru-RU" sz="1400" baseline="0"/>
              <a:t>городского</a:t>
            </a:r>
            <a:r>
              <a:rPr lang="ru-RU" sz="1400"/>
              <a:t> округа г. </a:t>
            </a:r>
            <a:r>
              <a:rPr lang="ru-RU" sz="1400" baseline="0"/>
              <a:t>Ак-Довурак на 01.01.</a:t>
            </a:r>
            <a:r>
              <a:rPr lang="ru-RU" sz="1400"/>
              <a:t>2023г. </a:t>
            </a:r>
          </a:p>
          <a:p>
            <a:pPr algn="ctr">
              <a:defRPr/>
            </a:pPr>
            <a:endParaRPr lang="ru-RU" sz="1400"/>
          </a:p>
        </c:rich>
      </c:tx>
      <c:layout>
        <c:manualLayout>
          <c:xMode val="edge"/>
          <c:yMode val="edge"/>
          <c:x val="5.4810639824890511E-2"/>
          <c:y val="2.816425366184062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5919674827790632"/>
          <c:y val="0.39700381105612581"/>
          <c:w val="0.32567029167965683"/>
          <c:h val="0.54232515053265407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dPt>
            <c:idx val="1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0-00DC-4714-96CC-07A9DC8DD392}"/>
              </c:ext>
            </c:extLst>
          </c:dPt>
          <c:dPt>
            <c:idx val="2"/>
            <c:bubble3D val="0"/>
            <c:explosion val="10"/>
            <c:extLst>
              <c:ext xmlns:c16="http://schemas.microsoft.com/office/drawing/2014/chart" uri="{C3380CC4-5D6E-409C-BE32-E72D297353CC}">
                <c16:uniqueId val="{00000001-00DC-4714-96CC-07A9DC8DD392}"/>
              </c:ext>
            </c:extLst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00DC-4714-96CC-07A9DC8DD392}"/>
              </c:ext>
            </c:extLst>
          </c:dPt>
          <c:dLbls>
            <c:dLbl>
              <c:idx val="0"/>
              <c:layout>
                <c:manualLayout>
                  <c:x val="0.18138943782233577"/>
                  <c:y val="-9.6667852002371227E-2"/>
                </c:manualLayout>
              </c:layout>
              <c:tx>
                <c:rich>
                  <a:bodyPr/>
                  <a:lstStyle/>
                  <a:p>
                    <a:pPr>
                      <a:defRPr sz="1000" b="1" i="1" baseline="0"/>
                    </a:pPr>
                    <a:r>
                      <a:rPr lang="ru-RU" sz="1000" i="1"/>
                      <a:t>налог на доходы физических лиц 48%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0DC-4714-96CC-07A9DC8DD392}"/>
                </c:ext>
              </c:extLst>
            </c:dLbl>
            <c:dLbl>
              <c:idx val="1"/>
              <c:layout>
                <c:manualLayout>
                  <c:x val="-0.17489416041248829"/>
                  <c:y val="8.9340445347559094E-4"/>
                </c:manualLayout>
              </c:layout>
              <c:tx>
                <c:rich>
                  <a:bodyPr/>
                  <a:lstStyle/>
                  <a:p>
                    <a:pPr>
                      <a:defRPr sz="1000" b="1" i="1" baseline="0"/>
                    </a:pPr>
                    <a:r>
                      <a:rPr lang="ru-RU" sz="1000"/>
                      <a:t>налоги</a:t>
                    </a:r>
                    <a:r>
                      <a:rPr lang="ru-RU" sz="1000" baseline="0"/>
                      <a:t> на совокупный доход  28%</a:t>
                    </a:r>
                    <a:endParaRPr lang="ru-RU" sz="100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0DC-4714-96CC-07A9DC8DD392}"/>
                </c:ext>
              </c:extLst>
            </c:dLbl>
            <c:dLbl>
              <c:idx val="2"/>
              <c:layout>
                <c:manualLayout>
                  <c:x val="-0.24937407351593244"/>
                  <c:y val="-8.0753196173061023E-2"/>
                </c:manualLayout>
              </c:layout>
              <c:tx>
                <c:rich>
                  <a:bodyPr/>
                  <a:lstStyle/>
                  <a:p>
                    <a:pPr>
                      <a:defRPr sz="1000" b="1" i="1" baseline="0"/>
                    </a:pPr>
                    <a:r>
                      <a:rPr lang="ru-RU" sz="1000" b="1" i="1" baseline="0"/>
                      <a:t>доходы от использования имущества 4,6%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0DC-4714-96CC-07A9DC8DD392}"/>
                </c:ext>
              </c:extLst>
            </c:dLbl>
            <c:dLbl>
              <c:idx val="3"/>
              <c:layout>
                <c:manualLayout>
                  <c:x val="-7.2230828224134083E-2"/>
                  <c:y val="-0.19545948691897461"/>
                </c:manualLayout>
              </c:layout>
              <c:tx>
                <c:rich>
                  <a:bodyPr/>
                  <a:lstStyle/>
                  <a:p>
                    <a:pPr>
                      <a:defRPr sz="1000" b="1" i="1" baseline="0"/>
                    </a:pPr>
                    <a:r>
                      <a:rPr lang="ru-RU" sz="1000" baseline="0"/>
                      <a:t>доходы от продажи мат и немат. активов</a:t>
                    </a:r>
                    <a:r>
                      <a:rPr lang="ru-RU" sz="1000"/>
                      <a:t> 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0DC-4714-96CC-07A9DC8DD39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DC-4714-96CC-07A9DC8DD3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доходы от использования имущества</c:v>
                </c:pt>
                <c:pt idx="3">
                  <c:v>доходы от продажи земельных участков</c:v>
                </c:pt>
                <c:pt idx="4">
                  <c:v>доходы по акцизам на нефтепродукты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48</c:v>
                </c:pt>
                <c:pt idx="1">
                  <c:v>28</c:v>
                </c:pt>
                <c:pt idx="2">
                  <c:v>4.5999999999999996</c:v>
                </c:pt>
                <c:pt idx="3">
                  <c:v>7</c:v>
                </c:pt>
                <c:pt idx="4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0DC-4714-96CC-07A9DC8DD3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plotVisOnly val="1"/>
    <c:dispBlanksAs val="zero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0.83805</cdr:x>
      <cdr:y>0.04166</cdr:y>
    </cdr:from>
    <cdr:to>
      <cdr:x>0.96984</cdr:x>
      <cdr:y>0.24325</cdr:y>
    </cdr:to>
    <cdr:pic>
      <cdr:nvPicPr>
        <cdr:cNvPr id="1025" name="Picture 1" descr="Без названия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4120800" y="123024"/>
          <a:ext cx="648026" cy="59524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pic>
  </cdr:relSizeAnchor>
  <cdr:relSizeAnchor xmlns:cdr="http://schemas.openxmlformats.org/drawingml/2006/chartDrawing">
    <cdr:from>
      <cdr:x>0.51333</cdr:x>
      <cdr:y>0.18387</cdr:y>
    </cdr:from>
    <cdr:to>
      <cdr:x>0.72448</cdr:x>
      <cdr:y>0.41935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524125" y="542925"/>
          <a:ext cx="1038225" cy="695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1000" b="1" i="1"/>
            <a:t>доходы по акцизам</a:t>
          </a:r>
        </a:p>
        <a:p xmlns:a="http://schemas.openxmlformats.org/drawingml/2006/main">
          <a:pPr algn="ctr"/>
          <a:r>
            <a:rPr lang="ru-RU" sz="1000" b="1" i="1" baseline="0"/>
            <a:t> на нефтепродукты </a:t>
          </a:r>
        </a:p>
        <a:p xmlns:a="http://schemas.openxmlformats.org/drawingml/2006/main">
          <a:pPr algn="ctr"/>
          <a:r>
            <a:rPr lang="ru-RU" sz="1000" b="1" i="1" baseline="0"/>
            <a:t>2,9%</a:t>
          </a:r>
          <a:endParaRPr lang="ru-RU" sz="1000" b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A36D-762C-43D7-844D-288B965C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4987</TotalTime>
  <Pages>7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FUAD</Company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KC</dc:creator>
  <cp:lastModifiedBy>Пользователь</cp:lastModifiedBy>
  <cp:revision>271</cp:revision>
  <cp:lastPrinted>2020-02-20T04:06:00Z</cp:lastPrinted>
  <dcterms:created xsi:type="dcterms:W3CDTF">2019-02-08T04:56:00Z</dcterms:created>
  <dcterms:modified xsi:type="dcterms:W3CDTF">2023-03-30T03:34:00Z</dcterms:modified>
</cp:coreProperties>
</file>