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06" w:rsidRDefault="00B8123F" w:rsidP="00B1290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23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pt;margin-top:-40pt;width:1in;height:65.95pt;z-index:251660288">
            <v:imagedata r:id="rId4" o:title=""/>
            <w10:wrap type="topAndBottom"/>
          </v:shape>
          <o:OLEObject Type="Embed" ProgID="PBrush" ShapeID="_x0000_s1026" DrawAspect="Content" ObjectID="_1604998424" r:id="rId5"/>
        </w:pict>
      </w:r>
      <w:r w:rsidR="00B12906">
        <w:rPr>
          <w:rFonts w:ascii="Times New Roman" w:hAnsi="Times New Roman" w:cs="Times New Roman"/>
          <w:b/>
          <w:sz w:val="28"/>
          <w:szCs w:val="28"/>
        </w:rPr>
        <w:t>ХУРАЛ ПРЕДСТАВИТЕЛЕЙ г</w:t>
      </w:r>
      <w:proofErr w:type="gramStart"/>
      <w:r w:rsidR="00B12906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B12906">
        <w:rPr>
          <w:rFonts w:ascii="Times New Roman" w:hAnsi="Times New Roman" w:cs="Times New Roman"/>
          <w:b/>
          <w:sz w:val="28"/>
          <w:szCs w:val="28"/>
        </w:rPr>
        <w:t>К-ДОВУРАК РЕСПУБЛИКИ ТЫВА</w:t>
      </w:r>
    </w:p>
    <w:p w:rsidR="00B12906" w:rsidRDefault="00B12906" w:rsidP="00B1290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12906" w:rsidRDefault="00B12906" w:rsidP="00B1290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ТЫВА РЕСПУБЛИКАНЫН АК-ДОВУРАК ХООРАЙНЫН</w:t>
      </w:r>
    </w:p>
    <w:p w:rsidR="00B12906" w:rsidRDefault="00B12906" w:rsidP="00B1290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ТОЛЭЭЛЕКЧИЛЕР ХУРАЛЫ</w:t>
      </w:r>
    </w:p>
    <w:p w:rsidR="00B12906" w:rsidRDefault="00B12906" w:rsidP="00B1290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ШИИТПИР</w:t>
      </w:r>
    </w:p>
    <w:p w:rsidR="00B12906" w:rsidRDefault="00B12906" w:rsidP="00B12906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B12906" w:rsidRDefault="00B12906" w:rsidP="00B1290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           </w:t>
      </w:r>
      <w:r w:rsidR="001F4320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8B204B">
        <w:rPr>
          <w:rFonts w:ascii="Times New Roman" w:hAnsi="Times New Roman" w:cs="Times New Roman"/>
          <w:sz w:val="28"/>
          <w:szCs w:val="28"/>
        </w:rPr>
        <w:t>48                  от «28</w:t>
      </w:r>
      <w:r>
        <w:rPr>
          <w:rFonts w:ascii="Times New Roman" w:hAnsi="Times New Roman" w:cs="Times New Roman"/>
          <w:sz w:val="28"/>
          <w:szCs w:val="28"/>
        </w:rPr>
        <w:t>» ноября 2018 г</w:t>
      </w:r>
    </w:p>
    <w:p w:rsidR="00B12906" w:rsidRDefault="00B12906" w:rsidP="00B1290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2E2A3E" w:rsidRPr="00B12906" w:rsidRDefault="00B12906" w:rsidP="00B12906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</w:t>
      </w:r>
      <w:r w:rsidR="002E2A3E" w:rsidRPr="00B1290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Об утверждении порядка предоставления муниципальных гарантий по инвестиционным проектам за счет средств местного бюджета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городского округа город Ак-Довурак Республики Тыва»</w:t>
      </w:r>
    </w:p>
    <w:p w:rsidR="00B12906" w:rsidRDefault="00B12906" w:rsidP="00B1290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2E2A3E" w:rsidRPr="00B12906" w:rsidRDefault="00B12906" w:rsidP="00B1290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="002E2A3E" w:rsidRPr="00B12906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Бюджетного кодекса Российской Федерации, пункта 2 статьи 19 Федерального закона от 25 февраля 1999 года № 39 - ФЗ «Об инвестиционной деятельности в Российской Федерации, осуществляемой в форме капитальных вложений</w:t>
      </w:r>
      <w:r w:rsidRPr="00B12906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D75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представления прокуратуры </w:t>
      </w:r>
      <w:proofErr w:type="spellStart"/>
      <w:r w:rsidR="00D75997">
        <w:rPr>
          <w:rFonts w:ascii="Times New Roman" w:eastAsia="Times New Roman" w:hAnsi="Times New Roman" w:cs="Times New Roman"/>
          <w:color w:val="000000"/>
          <w:sz w:val="28"/>
          <w:szCs w:val="28"/>
        </w:rPr>
        <w:t>Барун-Хемчикского</w:t>
      </w:r>
      <w:proofErr w:type="spellEnd"/>
      <w:r w:rsidR="00D75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об устранении нарушений федерального </w:t>
      </w:r>
      <w:r w:rsidR="00C72B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законодательства от </w:t>
      </w:r>
      <w:r w:rsidR="00D75997">
        <w:rPr>
          <w:rFonts w:ascii="Times New Roman" w:eastAsia="Times New Roman" w:hAnsi="Times New Roman" w:cs="Times New Roman"/>
          <w:color w:val="000000"/>
          <w:sz w:val="28"/>
          <w:szCs w:val="28"/>
        </w:rPr>
        <w:t>12.11.2018</w:t>
      </w:r>
      <w:r w:rsidR="006A03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5997">
        <w:rPr>
          <w:rFonts w:ascii="Times New Roman" w:eastAsia="Times New Roman" w:hAnsi="Times New Roman" w:cs="Times New Roman"/>
          <w:color w:val="000000"/>
          <w:sz w:val="28"/>
          <w:szCs w:val="28"/>
        </w:rPr>
        <w:t>г №</w:t>
      </w:r>
      <w:r w:rsidR="006A03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5997">
        <w:rPr>
          <w:rFonts w:ascii="Times New Roman" w:eastAsia="Times New Roman" w:hAnsi="Times New Roman" w:cs="Times New Roman"/>
          <w:color w:val="000000"/>
          <w:sz w:val="28"/>
          <w:szCs w:val="28"/>
        </w:rPr>
        <w:t>8-1052в.2018,</w:t>
      </w:r>
      <w:r w:rsidRPr="00B129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городского округа города Ак-Довурак Республики Т</w:t>
      </w:r>
      <w:r w:rsidR="00D75997">
        <w:rPr>
          <w:rFonts w:ascii="Times New Roman" w:eastAsia="Times New Roman" w:hAnsi="Times New Roman" w:cs="Times New Roman"/>
          <w:color w:val="000000"/>
          <w:sz w:val="28"/>
          <w:szCs w:val="28"/>
        </w:rPr>
        <w:t>ыва, Хурал представителей г.</w:t>
      </w:r>
      <w:r w:rsidRPr="00B129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Ак-Довурак</w:t>
      </w:r>
      <w:r w:rsidR="002E2A3E" w:rsidRPr="00B129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B12906" w:rsidRDefault="00B12906" w:rsidP="00B129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29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</w:t>
      </w:r>
      <w:r w:rsidR="002E2A3E" w:rsidRPr="00B129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2E2A3E" w:rsidRPr="00B12906" w:rsidRDefault="00B12906" w:rsidP="00B12906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B1290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2E2A3E" w:rsidRPr="00B12906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Порядок предоставления муниципальных гарантий по инвестиционным проектам за счет средств местного бюджета</w:t>
      </w:r>
      <w:r w:rsidRPr="00B1290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</w:t>
      </w:r>
      <w:r w:rsidRPr="00B1290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городского округа город Ак-Довурак Республики Тыва</w:t>
      </w:r>
      <w:r w:rsidR="002E2A3E" w:rsidRPr="00B129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2A3E" w:rsidRPr="00B12906" w:rsidRDefault="00B12906" w:rsidP="00B12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Настоящее решение</w:t>
      </w:r>
      <w:r w:rsidR="002E2A3E" w:rsidRPr="00B129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разместить на 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ициальном сайте администрации городского округа города Ак-Довурак Республики Тыва</w:t>
      </w:r>
      <w:r w:rsidR="002E2A3E" w:rsidRPr="00B129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6914" w:rsidRDefault="005F6914" w:rsidP="00B12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2A3E" w:rsidRPr="00B12906" w:rsidRDefault="00C72BAA" w:rsidP="00B12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12906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решение</w:t>
      </w:r>
      <w:r w:rsidR="002E2A3E" w:rsidRPr="00B129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вступает в силу с момента его официального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E2A3E" w:rsidRPr="00B12906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опубликования</w:t>
      </w:r>
      <w:r w:rsidR="002E2A3E" w:rsidRPr="00B129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2906" w:rsidRDefault="002E2A3E" w:rsidP="00B1290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90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F6914" w:rsidRDefault="005F6914" w:rsidP="005F691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F6914" w:rsidRDefault="005F6914" w:rsidP="005F691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F6914" w:rsidRDefault="005F6914" w:rsidP="005F691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E2A3E" w:rsidRPr="005F6914" w:rsidRDefault="00B12906" w:rsidP="005F6914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Глава городского округа -</w:t>
      </w:r>
    </w:p>
    <w:p w:rsidR="005F6914" w:rsidRDefault="00B12906" w:rsidP="005F69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п</w:t>
      </w:r>
      <w:r w:rsidR="005F6914">
        <w:rPr>
          <w:rFonts w:ascii="Times New Roman" w:hAnsi="Times New Roman" w:cs="Times New Roman"/>
          <w:sz w:val="28"/>
          <w:szCs w:val="28"/>
        </w:rPr>
        <w:t xml:space="preserve">редседатель Хурала </w:t>
      </w:r>
      <w:r w:rsidRPr="005F6914">
        <w:rPr>
          <w:rFonts w:ascii="Times New Roman" w:hAnsi="Times New Roman" w:cs="Times New Roman"/>
          <w:sz w:val="28"/>
          <w:szCs w:val="28"/>
        </w:rPr>
        <w:t>представителей</w:t>
      </w:r>
      <w:r w:rsidR="002E2A3E" w:rsidRPr="005F6914">
        <w:rPr>
          <w:rFonts w:ascii="Times New Roman" w:hAnsi="Times New Roman" w:cs="Times New Roman"/>
          <w:sz w:val="28"/>
          <w:szCs w:val="28"/>
        </w:rPr>
        <w:t>         </w:t>
      </w:r>
    </w:p>
    <w:p w:rsidR="005F6914" w:rsidRDefault="005F6914" w:rsidP="005F691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Республики Тыва                                                         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</w:p>
    <w:p w:rsidR="005F6914" w:rsidRDefault="005F6914" w:rsidP="005F691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E2A3E" w:rsidRPr="005F6914" w:rsidRDefault="002E2A3E" w:rsidP="005F69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                                            </w:t>
      </w:r>
      <w:r w:rsidR="00B12906" w:rsidRPr="005F6914">
        <w:rPr>
          <w:rFonts w:ascii="Times New Roman" w:hAnsi="Times New Roman" w:cs="Times New Roman"/>
          <w:sz w:val="28"/>
          <w:szCs w:val="28"/>
        </w:rPr>
        <w:t>                </w:t>
      </w:r>
    </w:p>
    <w:p w:rsidR="002E2A3E" w:rsidRPr="005F6914" w:rsidRDefault="002E2A3E" w:rsidP="005F6914">
      <w:pPr>
        <w:pStyle w:val="a8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 </w:t>
      </w:r>
    </w:p>
    <w:p w:rsidR="005F6914" w:rsidRDefault="005F6914" w:rsidP="002E2A3E">
      <w:pPr>
        <w:spacing w:after="12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</w:rPr>
      </w:pPr>
    </w:p>
    <w:p w:rsidR="005F6914" w:rsidRDefault="005F6914" w:rsidP="002E2A3E">
      <w:pPr>
        <w:spacing w:after="12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</w:rPr>
      </w:pPr>
    </w:p>
    <w:p w:rsidR="005F6914" w:rsidRDefault="005F6914" w:rsidP="002E2A3E">
      <w:pPr>
        <w:spacing w:after="12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</w:rPr>
      </w:pPr>
    </w:p>
    <w:p w:rsidR="002E2A3E" w:rsidRPr="005F6914" w:rsidRDefault="002E2A3E" w:rsidP="005F6914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5F691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E2A3E" w:rsidRPr="005F6914" w:rsidRDefault="002E2A3E" w:rsidP="005F6914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5F6914">
        <w:rPr>
          <w:rFonts w:ascii="Times New Roman" w:hAnsi="Times New Roman" w:cs="Times New Roman"/>
          <w:sz w:val="24"/>
          <w:szCs w:val="24"/>
        </w:rPr>
        <w:t> </w:t>
      </w:r>
      <w:r w:rsidR="005F6914" w:rsidRPr="005F6914">
        <w:rPr>
          <w:rFonts w:ascii="Times New Roman" w:hAnsi="Times New Roman" w:cs="Times New Roman"/>
          <w:sz w:val="24"/>
          <w:szCs w:val="24"/>
        </w:rPr>
        <w:t>решением Хурала представителей</w:t>
      </w:r>
    </w:p>
    <w:p w:rsidR="005F6914" w:rsidRPr="005F6914" w:rsidRDefault="005F6914" w:rsidP="005F6914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5F691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914">
        <w:rPr>
          <w:rFonts w:ascii="Times New Roman" w:hAnsi="Times New Roman" w:cs="Times New Roman"/>
          <w:sz w:val="24"/>
          <w:szCs w:val="24"/>
        </w:rPr>
        <w:t>Ак-Довурак    Республики  Тыва</w:t>
      </w:r>
    </w:p>
    <w:p w:rsidR="002E2A3E" w:rsidRPr="005F6914" w:rsidRDefault="005F6914" w:rsidP="005F6914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8B204B">
        <w:rPr>
          <w:rFonts w:ascii="Times New Roman" w:hAnsi="Times New Roman" w:cs="Times New Roman"/>
          <w:sz w:val="24"/>
          <w:szCs w:val="24"/>
        </w:rPr>
        <w:t>от  «28»  ноября  2018 г.     № 48</w:t>
      </w:r>
      <w:r w:rsidRPr="005F69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A3E" w:rsidRPr="005F6914" w:rsidRDefault="002E2A3E" w:rsidP="005F691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 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 </w:t>
      </w:r>
    </w:p>
    <w:p w:rsidR="002E2A3E" w:rsidRPr="005F6914" w:rsidRDefault="002E2A3E" w:rsidP="005F691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91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E2A3E" w:rsidRPr="005F6914" w:rsidRDefault="002E2A3E" w:rsidP="005F691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914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муниципальных гарантий по </w:t>
      </w:r>
      <w:proofErr w:type="gramStart"/>
      <w:r w:rsidRPr="005F6914">
        <w:rPr>
          <w:rFonts w:ascii="Times New Roman" w:hAnsi="Times New Roman" w:cs="Times New Roman"/>
          <w:b/>
          <w:sz w:val="28"/>
          <w:szCs w:val="28"/>
        </w:rPr>
        <w:t>инвестиционным</w:t>
      </w:r>
      <w:proofErr w:type="gramEnd"/>
    </w:p>
    <w:p w:rsidR="005F6914" w:rsidRDefault="002E2A3E" w:rsidP="005F691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914">
        <w:rPr>
          <w:rFonts w:ascii="Times New Roman" w:hAnsi="Times New Roman" w:cs="Times New Roman"/>
          <w:b/>
          <w:sz w:val="28"/>
          <w:szCs w:val="28"/>
        </w:rPr>
        <w:t>проектам за счет средств местного бюджета</w:t>
      </w:r>
      <w:r w:rsidR="005F6914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2E2A3E" w:rsidRPr="005F6914" w:rsidRDefault="005F6914" w:rsidP="005F691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города Ак-Довурак Республики Тыва</w:t>
      </w:r>
    </w:p>
    <w:p w:rsidR="002E2A3E" w:rsidRPr="005F6914" w:rsidRDefault="002E2A3E" w:rsidP="005F691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 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91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914">
        <w:rPr>
          <w:rFonts w:ascii="Times New Roman" w:hAnsi="Times New Roman" w:cs="Times New Roman"/>
          <w:b/>
          <w:sz w:val="28"/>
          <w:szCs w:val="28"/>
        </w:rPr>
        <w:t> </w:t>
      </w:r>
      <w:r w:rsidRPr="005F6914">
        <w:rPr>
          <w:rFonts w:ascii="Times New Roman" w:hAnsi="Times New Roman" w:cs="Times New Roman"/>
          <w:sz w:val="28"/>
          <w:szCs w:val="28"/>
        </w:rPr>
        <w:t>1.1. Термины и понятия, применяемые в целях настоящего Порядка: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- муниципальная гарантия на цели реализации инвестиционных проектов (далее по тексту - муниципальная гарантия) - вид долгового обязательства, в силу которого администрация</w:t>
      </w:r>
      <w:r w:rsidR="005E52B0">
        <w:rPr>
          <w:rFonts w:ascii="Times New Roman" w:hAnsi="Times New Roman" w:cs="Times New Roman"/>
          <w:sz w:val="28"/>
          <w:szCs w:val="28"/>
        </w:rPr>
        <w:t xml:space="preserve"> городского округа города Ак-Довурак Республики Тыва (гарант)</w:t>
      </w:r>
      <w:proofErr w:type="gramStart"/>
      <w:r w:rsidR="005E52B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5E52B0">
        <w:rPr>
          <w:rFonts w:ascii="Times New Roman" w:hAnsi="Times New Roman" w:cs="Times New Roman"/>
          <w:sz w:val="28"/>
          <w:szCs w:val="28"/>
        </w:rPr>
        <w:t xml:space="preserve">? </w:t>
      </w:r>
      <w:r w:rsidRPr="005F6914">
        <w:rPr>
          <w:rFonts w:ascii="Times New Roman" w:hAnsi="Times New Roman" w:cs="Times New Roman"/>
          <w:sz w:val="28"/>
          <w:szCs w:val="28"/>
        </w:rPr>
        <w:t xml:space="preserve"> обязана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местного бюджета в соответствии с условиями даваемого гарантом обязательства, отвечать за исполнение третьим лицом (принципалом) его обязательства перед бенефициаром;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- бенефициар - кредитор принципала, которому предназначен денежный платеж по долговому обязательству муниципального образования в виде муниципальной гарантии;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- принципал - должник бенефициара по обязательству, обеспеченному муниципальной гарантией;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- муниципальный долг - обязательства, возникшие из муниципальных заимствований, гарантий по обязательствам третьих лиц, другие обязательства в соответствии с видами долговых обязательств, принятых на себя муниципальным образованием.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 xml:space="preserve">1.2. Органом местного самоуправления, уполномоченным от имени </w:t>
      </w:r>
      <w:r w:rsidR="005E52B0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города Ак-Довурак Республики Тыва </w:t>
      </w:r>
      <w:r w:rsidRPr="005F6914">
        <w:rPr>
          <w:rFonts w:ascii="Times New Roman" w:hAnsi="Times New Roman" w:cs="Times New Roman"/>
          <w:sz w:val="28"/>
          <w:szCs w:val="28"/>
        </w:rPr>
        <w:t xml:space="preserve"> выдавать гарантии</w:t>
      </w:r>
      <w:proofErr w:type="gramStart"/>
      <w:r w:rsidR="00D75997">
        <w:rPr>
          <w:rFonts w:ascii="Times New Roman" w:hAnsi="Times New Roman" w:cs="Times New Roman"/>
          <w:sz w:val="28"/>
          <w:szCs w:val="28"/>
        </w:rPr>
        <w:t xml:space="preserve"> </w:t>
      </w:r>
      <w:r w:rsidR="005E52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E52B0">
        <w:rPr>
          <w:rFonts w:ascii="Times New Roman" w:hAnsi="Times New Roman" w:cs="Times New Roman"/>
          <w:sz w:val="28"/>
          <w:szCs w:val="28"/>
        </w:rPr>
        <w:t xml:space="preserve"> является администрация</w:t>
      </w:r>
      <w:r w:rsidR="005E52B0" w:rsidRPr="005E52B0">
        <w:rPr>
          <w:rFonts w:ascii="Times New Roman" w:hAnsi="Times New Roman" w:cs="Times New Roman"/>
          <w:sz w:val="28"/>
          <w:szCs w:val="28"/>
        </w:rPr>
        <w:t xml:space="preserve"> </w:t>
      </w:r>
      <w:r w:rsidR="005E52B0">
        <w:rPr>
          <w:rFonts w:ascii="Times New Roman" w:hAnsi="Times New Roman" w:cs="Times New Roman"/>
          <w:sz w:val="28"/>
          <w:szCs w:val="28"/>
        </w:rPr>
        <w:t xml:space="preserve">городского округа города Ак-Довурак Республики Тыва </w:t>
      </w:r>
      <w:r w:rsidR="005E52B0" w:rsidRPr="005F6914">
        <w:rPr>
          <w:rFonts w:ascii="Times New Roman" w:hAnsi="Times New Roman" w:cs="Times New Roman"/>
          <w:sz w:val="28"/>
          <w:szCs w:val="28"/>
        </w:rPr>
        <w:t xml:space="preserve"> </w:t>
      </w:r>
      <w:r w:rsidR="005E52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1.3. Основными целями предоставления муниципальных гарантий для реализации инвестиционных проектов являются стимулирование инвестиционной активности и привлечение средств инвесторов для развития экономики муниципального образования, увеличение поступлений налоговых выплат в местный бюджет от реализации инвестиционных проектов, повышение технического уровня и конкурентоспособности продукции, выпускаемой на территории муниципального образования, решение социальных проблем.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lastRenderedPageBreak/>
        <w:t>1.4. Предельный размер средств, на которые могут быть предост</w:t>
      </w:r>
      <w:r w:rsidR="005E52B0">
        <w:rPr>
          <w:rFonts w:ascii="Times New Roman" w:hAnsi="Times New Roman" w:cs="Times New Roman"/>
          <w:sz w:val="28"/>
          <w:szCs w:val="28"/>
        </w:rPr>
        <w:t>авлены гарантии администрации городского округа города Ак-Довурак Республики Тыва</w:t>
      </w:r>
      <w:r w:rsidRPr="005F6914">
        <w:rPr>
          <w:rFonts w:ascii="Times New Roman" w:hAnsi="Times New Roman" w:cs="Times New Roman"/>
          <w:sz w:val="28"/>
          <w:szCs w:val="28"/>
        </w:rPr>
        <w:t xml:space="preserve"> по займам и кредитам на цели реализации инвестиционных проектов, опред</w:t>
      </w:r>
      <w:r w:rsidR="005E52B0">
        <w:rPr>
          <w:rFonts w:ascii="Times New Roman" w:hAnsi="Times New Roman" w:cs="Times New Roman"/>
          <w:sz w:val="28"/>
          <w:szCs w:val="28"/>
        </w:rPr>
        <w:t>еляется администрацией городского округа города Ак-Довурак Республики Тыва</w:t>
      </w:r>
      <w:r w:rsidRPr="005F6914">
        <w:rPr>
          <w:rFonts w:ascii="Times New Roman" w:hAnsi="Times New Roman" w:cs="Times New Roman"/>
          <w:sz w:val="28"/>
          <w:szCs w:val="28"/>
        </w:rPr>
        <w:t xml:space="preserve"> при утверждении бюджета муниципального образования на следующий финансовый год.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1.5. В муниципальной гарантии должны быть указаны: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 xml:space="preserve">- </w:t>
      </w:r>
      <w:r w:rsidR="005E52B0">
        <w:rPr>
          <w:rFonts w:ascii="Times New Roman" w:hAnsi="Times New Roman" w:cs="Times New Roman"/>
          <w:sz w:val="28"/>
          <w:szCs w:val="28"/>
        </w:rPr>
        <w:t>сведения о городском округе города Ак-Довурак Республики Тыва</w:t>
      </w:r>
      <w:proofErr w:type="gramStart"/>
      <w:r w:rsidR="005E52B0">
        <w:rPr>
          <w:rFonts w:ascii="Times New Roman" w:hAnsi="Times New Roman" w:cs="Times New Roman"/>
          <w:sz w:val="28"/>
          <w:szCs w:val="28"/>
        </w:rPr>
        <w:t xml:space="preserve"> </w:t>
      </w:r>
      <w:r w:rsidRPr="005F69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F6914">
        <w:rPr>
          <w:rFonts w:ascii="Times New Roman" w:hAnsi="Times New Roman" w:cs="Times New Roman"/>
          <w:sz w:val="28"/>
          <w:szCs w:val="28"/>
        </w:rPr>
        <w:t xml:space="preserve"> включающие полно</w:t>
      </w:r>
      <w:r w:rsidR="005E52B0">
        <w:rPr>
          <w:rFonts w:ascii="Times New Roman" w:hAnsi="Times New Roman" w:cs="Times New Roman"/>
          <w:sz w:val="28"/>
          <w:szCs w:val="28"/>
        </w:rPr>
        <w:t>е наименование администрации городского округа города Ак-Довурак Республики Тыва</w:t>
      </w:r>
      <w:r w:rsidRPr="005F6914">
        <w:rPr>
          <w:rFonts w:ascii="Times New Roman" w:hAnsi="Times New Roman" w:cs="Times New Roman"/>
          <w:sz w:val="28"/>
          <w:szCs w:val="28"/>
        </w:rPr>
        <w:t>;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- обязательство, в обеспечение которого выдается гарантия;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- объем обязательств гаранта по муниципальной гарантии и предельная сумма гарантии;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- определение гарантийного случая;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- наименование принципала;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6914">
        <w:rPr>
          <w:rFonts w:ascii="Times New Roman" w:hAnsi="Times New Roman" w:cs="Times New Roman"/>
          <w:sz w:val="28"/>
          <w:szCs w:val="28"/>
        </w:rPr>
        <w:t>безотзывность</w:t>
      </w:r>
      <w:proofErr w:type="spellEnd"/>
      <w:r w:rsidRPr="005F6914">
        <w:rPr>
          <w:rFonts w:ascii="Times New Roman" w:hAnsi="Times New Roman" w:cs="Times New Roman"/>
          <w:sz w:val="28"/>
          <w:szCs w:val="28"/>
        </w:rPr>
        <w:t xml:space="preserve"> гарантии или условия ее отзыва;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- основания для выдачи гарантии;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- вступление в силу (дата выдачи) гарантии;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- срок действия муниципальной гарантии;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- порядок исполнения гарантом обязательств по гарантии;</w:t>
      </w:r>
    </w:p>
    <w:p w:rsidR="002E2A3E" w:rsidRPr="005F6914" w:rsidRDefault="005E52B0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2A3E" w:rsidRPr="005F6914">
        <w:rPr>
          <w:rFonts w:ascii="Times New Roman" w:hAnsi="Times New Roman" w:cs="Times New Roman"/>
          <w:sz w:val="28"/>
          <w:szCs w:val="28"/>
        </w:rPr>
        <w:t>порядок и условия сокращения предельной суммы гарантии при исполнении гарантии и (или) исполнении обязатель</w:t>
      </w:r>
      <w:proofErr w:type="gramStart"/>
      <w:r w:rsidR="002E2A3E" w:rsidRPr="005F691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2E2A3E" w:rsidRPr="005F6914">
        <w:rPr>
          <w:rFonts w:ascii="Times New Roman" w:hAnsi="Times New Roman" w:cs="Times New Roman"/>
          <w:sz w:val="28"/>
          <w:szCs w:val="28"/>
        </w:rPr>
        <w:t>инципала, обеспеченных гарантией;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- наличие или отсутствие права требования гаранта к принципалу о возмещении сумм, уплаченных гарантом бенефициару по муниципальной гарантии (регрессное требование гаранта к принципалу, регресс);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- иные условия гарантии, а также сведения, определенные Бюджетным кодексом Российской Федерации.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1.6. Письменная форма муниципальной гарантии является обязательной.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Несоблюдение письменной формы муниципальной гарантии влечет ее недействительность (ничтожность).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Срок действия гарантии определяется условиями гарантии.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1.7. Условия муниципальной гарантии не могут быть изменены гарантом без согласия бенефициара.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Гарант имеет право отозвать муниципальную гарантию только по основаниям, указанным в гарантии.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 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2. Условия предоставления муниципальной гарантии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 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2.1. Обязательными условиями, учитываемыми при выдаче муниципал</w:t>
      </w:r>
      <w:r w:rsidR="00570590">
        <w:rPr>
          <w:rFonts w:ascii="Times New Roman" w:hAnsi="Times New Roman" w:cs="Times New Roman"/>
          <w:sz w:val="28"/>
          <w:szCs w:val="28"/>
        </w:rPr>
        <w:t>ьных гарантий администрацией городского округа г</w:t>
      </w:r>
      <w:proofErr w:type="gramStart"/>
      <w:r w:rsidR="0057059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570590">
        <w:rPr>
          <w:rFonts w:ascii="Times New Roman" w:hAnsi="Times New Roman" w:cs="Times New Roman"/>
          <w:sz w:val="28"/>
          <w:szCs w:val="28"/>
        </w:rPr>
        <w:t xml:space="preserve">к-Довурак </w:t>
      </w:r>
      <w:r w:rsidRPr="005F6914">
        <w:rPr>
          <w:rFonts w:ascii="Times New Roman" w:hAnsi="Times New Roman" w:cs="Times New Roman"/>
          <w:sz w:val="28"/>
          <w:szCs w:val="28"/>
        </w:rPr>
        <w:t>, являются: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- проведение анализа финансового состояния принципала;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lastRenderedPageBreak/>
        <w:t>- представление принципалом всей необходимой документации (договоры, соглашения, технико-экономические обоснования и т.д.), касающейся его долгового обязательства перед третьим лицом;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- соблюдение принципалом бюджетного и налогового законодательства;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- отсутствие у принципала, его поручителей просроченной задолженности по денежным обязате</w:t>
      </w:r>
      <w:r w:rsidR="00570590">
        <w:rPr>
          <w:rFonts w:ascii="Times New Roman" w:hAnsi="Times New Roman" w:cs="Times New Roman"/>
          <w:sz w:val="28"/>
          <w:szCs w:val="28"/>
        </w:rPr>
        <w:t>льствам перед администрацией городского округа г</w:t>
      </w:r>
      <w:proofErr w:type="gramStart"/>
      <w:r w:rsidR="0057059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570590">
        <w:rPr>
          <w:rFonts w:ascii="Times New Roman" w:hAnsi="Times New Roman" w:cs="Times New Roman"/>
          <w:sz w:val="28"/>
          <w:szCs w:val="28"/>
        </w:rPr>
        <w:t xml:space="preserve">к-Довурак </w:t>
      </w:r>
      <w:r w:rsidRPr="005F6914">
        <w:rPr>
          <w:rFonts w:ascii="Times New Roman" w:hAnsi="Times New Roman" w:cs="Times New Roman"/>
          <w:sz w:val="28"/>
          <w:szCs w:val="28"/>
        </w:rPr>
        <w:t>, по обязательным платежам в бюджетную систему Российской Федерации, а также неурегулированных обязательств по ранее предоставленным муниципальным гарантиям.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5F6914">
        <w:rPr>
          <w:rFonts w:ascii="Times New Roman" w:hAnsi="Times New Roman" w:cs="Times New Roman"/>
          <w:sz w:val="28"/>
          <w:szCs w:val="28"/>
        </w:rPr>
        <w:t>Предоставлении муниципальной гарантии для обеспечения обязательств по возмещению ущерба, образовавшегося при наступлении гарантийного случая некоммерческого характера, а также муниципальной гарантии без права регрессного требования гаранта к принципалу анализ финансового состояния принципала может не проводиться.</w:t>
      </w:r>
      <w:proofErr w:type="gramEnd"/>
      <w:r w:rsidRPr="005F6914">
        <w:rPr>
          <w:rFonts w:ascii="Times New Roman" w:hAnsi="Times New Roman" w:cs="Times New Roman"/>
          <w:sz w:val="28"/>
          <w:szCs w:val="28"/>
        </w:rPr>
        <w:t xml:space="preserve"> При предоставлении указанных гарантий обеспечение исполнения обязатель</w:t>
      </w:r>
      <w:proofErr w:type="gramStart"/>
      <w:r w:rsidRPr="005F691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5F6914">
        <w:rPr>
          <w:rFonts w:ascii="Times New Roman" w:hAnsi="Times New Roman" w:cs="Times New Roman"/>
          <w:sz w:val="28"/>
          <w:szCs w:val="28"/>
        </w:rPr>
        <w:t>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2.3.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</w:t>
      </w:r>
      <w:r w:rsidR="00570590">
        <w:rPr>
          <w:rFonts w:ascii="Times New Roman" w:hAnsi="Times New Roman" w:cs="Times New Roman"/>
          <w:sz w:val="28"/>
          <w:szCs w:val="28"/>
        </w:rPr>
        <w:t xml:space="preserve"> бенефициаром в администрацию городского округа г</w:t>
      </w:r>
      <w:proofErr w:type="gramStart"/>
      <w:r w:rsidR="0057059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570590">
        <w:rPr>
          <w:rFonts w:ascii="Times New Roman" w:hAnsi="Times New Roman" w:cs="Times New Roman"/>
          <w:sz w:val="28"/>
          <w:szCs w:val="28"/>
        </w:rPr>
        <w:t>к-Довурак</w:t>
      </w:r>
      <w:r w:rsidRPr="005F6914">
        <w:rPr>
          <w:rFonts w:ascii="Times New Roman" w:hAnsi="Times New Roman" w:cs="Times New Roman"/>
          <w:sz w:val="28"/>
          <w:szCs w:val="28"/>
        </w:rPr>
        <w:t xml:space="preserve"> письменного заявления на предоставление муниципальной гарантии, в котором указываются: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- полное наименование заявителя, его юридический и фактический адреса;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- обязательство, в обеспечение которого запрашивается гарантия, его сумма и срок;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- наименование и адрес бенефициара, которому будет предоставлена полученная муниципальная гарантия;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- направления расходования средств, предоставленных по обязательствам, обеспеченным муниципальной гарантией.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2.4. К заявлению должны быть приложены следующие документы: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- карточка с образцами подписей уполномоченных лиц, подписывающих договор о предоставлении муниципальной гарантии, а также с образцом оттиска печати юридического лица;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- документы, устанавливающие полномочия лиц, подписывающих договор о предоставлении муниципальной гарантии;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- учредительные документы (подлинники) или их копии, заверенные организацией;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- технико-экономические обоснования, характеризующие окупаемость заимствований;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- бухгалтерский баланс за предшествующий год и на последнюю отчетную дату, предшествующую получению муниципальной гарантии, заверенный организацией, отчет о финансовых результатах, а для юридических лиц с участием иностранного капитала;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lastRenderedPageBreak/>
        <w:t>- бухгалтерский баланс за предшествующий год и на последнюю отчетную дату и последнее заключение независимого аудитора с нотариально заверенным переводом на русский язык (при необходимости).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2.5. Админис</w:t>
      </w:r>
      <w:r w:rsidR="00570590">
        <w:rPr>
          <w:rFonts w:ascii="Times New Roman" w:hAnsi="Times New Roman" w:cs="Times New Roman"/>
          <w:sz w:val="28"/>
          <w:szCs w:val="28"/>
        </w:rPr>
        <w:t>трация г</w:t>
      </w:r>
      <w:proofErr w:type="gramStart"/>
      <w:r w:rsidR="0057059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570590">
        <w:rPr>
          <w:rFonts w:ascii="Times New Roman" w:hAnsi="Times New Roman" w:cs="Times New Roman"/>
          <w:sz w:val="28"/>
          <w:szCs w:val="28"/>
        </w:rPr>
        <w:t>к-Довурак</w:t>
      </w:r>
      <w:r w:rsidRPr="005F6914">
        <w:rPr>
          <w:rFonts w:ascii="Times New Roman" w:hAnsi="Times New Roman" w:cs="Times New Roman"/>
          <w:sz w:val="28"/>
          <w:szCs w:val="28"/>
        </w:rPr>
        <w:t xml:space="preserve"> обязана провести проверку финансового состояния получателя муниципальной гарантии на основе представленных документов, кроме случаев предоставления муниципальной гарантии для обеспечения обязательств по возмещению ущерба, образовавшегося при наступлении гарантийного случая некоммерческого характера, а также муниципальной гарантии без права регрессного требования гаранта к принципалу.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2.6. Администрация</w:t>
      </w:r>
      <w:r w:rsidR="00570590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57059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570590">
        <w:rPr>
          <w:rFonts w:ascii="Times New Roman" w:hAnsi="Times New Roman" w:cs="Times New Roman"/>
          <w:sz w:val="28"/>
          <w:szCs w:val="28"/>
        </w:rPr>
        <w:t>к-Довурак</w:t>
      </w:r>
      <w:r w:rsidRPr="005F6914">
        <w:rPr>
          <w:rFonts w:ascii="Times New Roman" w:hAnsi="Times New Roman" w:cs="Times New Roman"/>
          <w:sz w:val="28"/>
          <w:szCs w:val="28"/>
        </w:rPr>
        <w:t xml:space="preserve"> определяет условия предоставления муниципальной гарантии в соответствии с настоящим Положением, визирует проект договора муниципальной гарантии или в течение 30 дней готовит обоснованный отказ в выдаче муниципальной гарантии в случае неудовлетворительного финансового состояния получателя муниципальной гарантии.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 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3. Заключительные положения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 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3.1. Гарант (поручитель) несет ответственность в соответствии с законодательством Российской Федерации и заключенным договором поручительства и (или) договором залога.</w:t>
      </w:r>
    </w:p>
    <w:p w:rsidR="002E2A3E" w:rsidRPr="005F6914" w:rsidRDefault="002E2A3E" w:rsidP="005F691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6914">
        <w:rPr>
          <w:rFonts w:ascii="Times New Roman" w:hAnsi="Times New Roman" w:cs="Times New Roman"/>
          <w:sz w:val="28"/>
          <w:szCs w:val="28"/>
        </w:rPr>
        <w:t>3.2. Заемщик несет ответственность за неисполнение условий договора (в том числе нецелевое использование полученных денежных средств) в соответствии с законодательством Российской Федерации и соответствующим договором.</w:t>
      </w:r>
    </w:p>
    <w:p w:rsidR="00B12906" w:rsidRDefault="00B12906" w:rsidP="002E2A3E">
      <w:pPr>
        <w:spacing w:after="12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:rsidR="009D79D3" w:rsidRDefault="009D79D3" w:rsidP="00B129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D79D3" w:rsidRDefault="009D79D3" w:rsidP="00B129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D79D3" w:rsidRDefault="009D79D3" w:rsidP="00B129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D79D3" w:rsidRDefault="009D79D3" w:rsidP="00B129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D79D3" w:rsidRDefault="009D79D3" w:rsidP="00B129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D79D3" w:rsidRDefault="009D79D3" w:rsidP="00B129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D79D3" w:rsidRDefault="009D79D3" w:rsidP="00B1290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12906" w:rsidRDefault="00B12906" w:rsidP="00B12906">
      <w:pPr>
        <w:spacing w:after="120" w:line="240" w:lineRule="auto"/>
        <w:outlineLvl w:val="0"/>
        <w:rPr>
          <w:rFonts w:ascii="Verdana" w:eastAsia="Times New Roman" w:hAnsi="Verdana" w:cs="Arial"/>
          <w:color w:val="333333"/>
          <w:kern w:val="36"/>
          <w:sz w:val="25"/>
          <w:szCs w:val="25"/>
        </w:rPr>
      </w:pPr>
    </w:p>
    <w:p w:rsidR="00B12906" w:rsidRDefault="00B12906" w:rsidP="002E2A3E">
      <w:pPr>
        <w:spacing w:after="12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:rsidR="00B12906" w:rsidRPr="002E2A3E" w:rsidRDefault="00B12906" w:rsidP="002E2A3E">
      <w:pPr>
        <w:spacing w:after="12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:rsidR="002E2A3E" w:rsidRPr="002E2A3E" w:rsidRDefault="002E2A3E" w:rsidP="002E2A3E">
      <w:pPr>
        <w:spacing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</w:rPr>
      </w:pPr>
    </w:p>
    <w:p w:rsidR="002E2A3E" w:rsidRPr="002E2A3E" w:rsidRDefault="002E2A3E" w:rsidP="002E2A3E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:rsidR="002E2A3E" w:rsidRPr="002E2A3E" w:rsidRDefault="002E2A3E" w:rsidP="002E2A3E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:rsidR="002E2A3E" w:rsidRPr="002E2A3E" w:rsidRDefault="002E2A3E" w:rsidP="002E2A3E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</w:p>
    <w:p w:rsidR="009E685B" w:rsidRPr="002B6119" w:rsidRDefault="009E685B" w:rsidP="002B6119"/>
    <w:sectPr w:rsidR="009E685B" w:rsidRPr="002B6119" w:rsidSect="00E55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119"/>
    <w:rsid w:val="000437B5"/>
    <w:rsid w:val="001F4320"/>
    <w:rsid w:val="00271492"/>
    <w:rsid w:val="00295D59"/>
    <w:rsid w:val="002B6119"/>
    <w:rsid w:val="002D6318"/>
    <w:rsid w:val="002E2A3E"/>
    <w:rsid w:val="00490695"/>
    <w:rsid w:val="00510B88"/>
    <w:rsid w:val="005213B1"/>
    <w:rsid w:val="00570590"/>
    <w:rsid w:val="005E52B0"/>
    <w:rsid w:val="005F6914"/>
    <w:rsid w:val="006A037E"/>
    <w:rsid w:val="007B30CC"/>
    <w:rsid w:val="008A271D"/>
    <w:rsid w:val="008B204B"/>
    <w:rsid w:val="009204B4"/>
    <w:rsid w:val="009529C2"/>
    <w:rsid w:val="009845F2"/>
    <w:rsid w:val="009D79D3"/>
    <w:rsid w:val="009E1E3A"/>
    <w:rsid w:val="009E685B"/>
    <w:rsid w:val="00B12906"/>
    <w:rsid w:val="00B8123F"/>
    <w:rsid w:val="00C72BAA"/>
    <w:rsid w:val="00D75997"/>
    <w:rsid w:val="00E55AC7"/>
    <w:rsid w:val="00F81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</w:style>
  <w:style w:type="paragraph" w:styleId="1">
    <w:name w:val="heading 1"/>
    <w:basedOn w:val="a"/>
    <w:link w:val="10"/>
    <w:uiPriority w:val="9"/>
    <w:qFormat/>
    <w:rsid w:val="002E2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E2A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2E2A3E"/>
    <w:rPr>
      <w:b/>
      <w:bCs/>
    </w:rPr>
  </w:style>
  <w:style w:type="character" w:styleId="a5">
    <w:name w:val="Hyperlink"/>
    <w:basedOn w:val="a0"/>
    <w:uiPriority w:val="99"/>
    <w:semiHidden/>
    <w:unhideWhenUsed/>
    <w:rsid w:val="002E2A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2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A3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1290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99721">
          <w:marLeft w:val="0"/>
          <w:marRight w:val="0"/>
          <w:marTop w:val="12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9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11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626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8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39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14373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09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847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1808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4" w:space="0" w:color="96BEF2"/>
                            <w:left w:val="single" w:sz="4" w:space="0" w:color="96BEF2"/>
                            <w:bottom w:val="single" w:sz="4" w:space="0" w:color="96BEF2"/>
                            <w:right w:val="single" w:sz="4" w:space="0" w:color="96BEF2"/>
                          </w:divBdr>
                          <w:divsChild>
                            <w:div w:id="35331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1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4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2018-11-28T06:06:00Z</cp:lastPrinted>
  <dcterms:created xsi:type="dcterms:W3CDTF">2018-11-23T06:13:00Z</dcterms:created>
  <dcterms:modified xsi:type="dcterms:W3CDTF">2018-11-29T05:07:00Z</dcterms:modified>
</cp:coreProperties>
</file>