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F" w:rsidRDefault="00F16216" w:rsidP="00F16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6216" w:rsidRDefault="00F16216" w:rsidP="00F16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16" w:rsidRDefault="00F16216" w:rsidP="0041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Вашего внимания предоставляем отчет о проделанной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2022 года.</w:t>
      </w:r>
    </w:p>
    <w:p w:rsidR="00F16216" w:rsidRDefault="00F16216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r w:rsidR="00125129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C86A7D">
        <w:rPr>
          <w:rFonts w:ascii="Times New Roman" w:hAnsi="Times New Roman" w:cs="Times New Roman"/>
          <w:sz w:val="28"/>
          <w:szCs w:val="28"/>
        </w:rPr>
        <w:t>в рамках исполнения Стратегии</w:t>
      </w:r>
      <w:r w:rsidRPr="00F162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«город Ак-Довурак Республики Тыва» до 2030 года</w:t>
      </w:r>
      <w:r w:rsidR="00C86A7D">
        <w:rPr>
          <w:rFonts w:ascii="Times New Roman" w:hAnsi="Times New Roman" w:cs="Times New Roman"/>
          <w:sz w:val="28"/>
          <w:szCs w:val="28"/>
        </w:rPr>
        <w:t>.</w:t>
      </w:r>
    </w:p>
    <w:p w:rsidR="00C86A7D" w:rsidRPr="00C86A7D" w:rsidRDefault="00C86A7D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>Стратегия сформирована:</w:t>
      </w:r>
    </w:p>
    <w:p w:rsidR="00C86A7D" w:rsidRPr="00C86A7D" w:rsidRDefault="00C86A7D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>- с учётом прогноза и анализа социально-экономического развития городского округа «город Ак-Довурак»;</w:t>
      </w:r>
    </w:p>
    <w:p w:rsidR="00C86A7D" w:rsidRPr="00C86A7D" w:rsidRDefault="00C86A7D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>- в рамках реализации вопросов местного значения в соответствии с действующим законодательством Российской Федерации;</w:t>
      </w:r>
    </w:p>
    <w:p w:rsidR="00C86A7D" w:rsidRPr="00C86A7D" w:rsidRDefault="00C86A7D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>- во взаимосвязи с основными направлениями социально-экономического развития Республики Тыва и города Ак-Довурак;</w:t>
      </w:r>
    </w:p>
    <w:p w:rsidR="00C86A7D" w:rsidRDefault="00C86A7D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>- с учётом доходов местного бюджета.</w:t>
      </w:r>
    </w:p>
    <w:p w:rsidR="00081446" w:rsidRDefault="00081446" w:rsidP="00C86A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86A7D" w:rsidRDefault="00C86A7D" w:rsidP="00C86A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6A7D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81446" w:rsidRPr="00C86A7D" w:rsidRDefault="00081446" w:rsidP="00C86A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284"/>
        <w:gridCol w:w="1134"/>
        <w:gridCol w:w="425"/>
        <w:gridCol w:w="709"/>
        <w:gridCol w:w="1128"/>
      </w:tblGrid>
      <w:tr w:rsidR="00C86A7D" w:rsidRPr="00C86A7D" w:rsidTr="00B34083">
        <w:tc>
          <w:tcPr>
            <w:tcW w:w="3681" w:type="dxa"/>
          </w:tcPr>
          <w:p w:rsidR="00C86A7D" w:rsidRPr="00C86A7D" w:rsidRDefault="00C86A7D" w:rsidP="00415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C86A7D" w:rsidRPr="00C86A7D" w:rsidRDefault="00C86A7D" w:rsidP="00C86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1981г.</w:t>
            </w:r>
          </w:p>
        </w:tc>
        <w:tc>
          <w:tcPr>
            <w:tcW w:w="1134" w:type="dxa"/>
            <w:gridSpan w:val="2"/>
          </w:tcPr>
          <w:p w:rsidR="00C86A7D" w:rsidRPr="00C86A7D" w:rsidRDefault="00C86A7D" w:rsidP="00C86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1985г.</w:t>
            </w:r>
          </w:p>
        </w:tc>
        <w:tc>
          <w:tcPr>
            <w:tcW w:w="1134" w:type="dxa"/>
          </w:tcPr>
          <w:p w:rsidR="00C86A7D" w:rsidRPr="00C86A7D" w:rsidRDefault="00C86A7D" w:rsidP="00C86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1991</w:t>
            </w:r>
          </w:p>
        </w:tc>
        <w:tc>
          <w:tcPr>
            <w:tcW w:w="1134" w:type="dxa"/>
            <w:gridSpan w:val="2"/>
          </w:tcPr>
          <w:p w:rsidR="00C86A7D" w:rsidRPr="00C86A7D" w:rsidRDefault="00C86A7D" w:rsidP="00C86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128" w:type="dxa"/>
          </w:tcPr>
          <w:p w:rsidR="00C86A7D" w:rsidRPr="00C86A7D" w:rsidRDefault="00C86A7D" w:rsidP="00C86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7D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C86A7D" w:rsidRPr="00C86A7D" w:rsidTr="00B34083">
        <w:tc>
          <w:tcPr>
            <w:tcW w:w="3681" w:type="dxa"/>
          </w:tcPr>
          <w:p w:rsidR="00C86A7D" w:rsidRPr="0041511F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13 500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14 100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 xml:space="preserve">15 100 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13 609</w:t>
            </w:r>
          </w:p>
        </w:tc>
        <w:tc>
          <w:tcPr>
            <w:tcW w:w="1128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13 640</w:t>
            </w:r>
          </w:p>
        </w:tc>
      </w:tr>
      <w:tr w:rsidR="00C86A7D" w:rsidRPr="00C86A7D" w:rsidTr="00B34083">
        <w:tc>
          <w:tcPr>
            <w:tcW w:w="3681" w:type="dxa"/>
          </w:tcPr>
          <w:p w:rsidR="00C86A7D" w:rsidRPr="0041511F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128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C86A7D" w:rsidRPr="00C86A7D" w:rsidTr="00B34083">
        <w:tc>
          <w:tcPr>
            <w:tcW w:w="3681" w:type="dxa"/>
          </w:tcPr>
          <w:p w:rsidR="00C86A7D" w:rsidRPr="0041511F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28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C86A7D" w:rsidRPr="00C86A7D" w:rsidTr="00B34083">
        <w:tc>
          <w:tcPr>
            <w:tcW w:w="3681" w:type="dxa"/>
          </w:tcPr>
          <w:p w:rsidR="00C86A7D" w:rsidRPr="0041511F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128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C86A7D" w:rsidRPr="00C86A7D" w:rsidTr="00B34083">
        <w:tc>
          <w:tcPr>
            <w:tcW w:w="3681" w:type="dxa"/>
          </w:tcPr>
          <w:p w:rsidR="00C86A7D" w:rsidRPr="0041511F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1134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1134" w:type="dxa"/>
            <w:gridSpan w:val="2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28" w:type="dxa"/>
          </w:tcPr>
          <w:p w:rsidR="00C86A7D" w:rsidRPr="0041511F" w:rsidRDefault="00C86A7D" w:rsidP="00C8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C86A7D" w:rsidTr="00B34083">
        <w:tc>
          <w:tcPr>
            <w:tcW w:w="3681" w:type="dxa"/>
          </w:tcPr>
          <w:p w:rsidR="00C86A7D" w:rsidRPr="00D73034" w:rsidRDefault="00C86A7D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03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gridSpan w:val="2"/>
          </w:tcPr>
          <w:p w:rsidR="00C86A7D" w:rsidRPr="00166956" w:rsidRDefault="00C86A7D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56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843" w:type="dxa"/>
            <w:gridSpan w:val="3"/>
          </w:tcPr>
          <w:p w:rsidR="00C86A7D" w:rsidRPr="00166956" w:rsidRDefault="00C86A7D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837" w:type="dxa"/>
            <w:gridSpan w:val="2"/>
          </w:tcPr>
          <w:p w:rsidR="00C86A7D" w:rsidRPr="00166956" w:rsidRDefault="00C86A7D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C86A7D" w:rsidTr="00B34083">
        <w:tc>
          <w:tcPr>
            <w:tcW w:w="3681" w:type="dxa"/>
          </w:tcPr>
          <w:p w:rsidR="00C86A7D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984" w:type="dxa"/>
            <w:gridSpan w:val="2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4932</w:t>
            </w:r>
          </w:p>
        </w:tc>
        <w:tc>
          <w:tcPr>
            <w:tcW w:w="1843" w:type="dxa"/>
            <w:gridSpan w:val="3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4881</w:t>
            </w:r>
          </w:p>
        </w:tc>
        <w:tc>
          <w:tcPr>
            <w:tcW w:w="1837" w:type="dxa"/>
            <w:gridSpan w:val="2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4820</w:t>
            </w:r>
          </w:p>
        </w:tc>
      </w:tr>
      <w:tr w:rsidR="00C86A7D" w:rsidTr="00B34083">
        <w:tc>
          <w:tcPr>
            <w:tcW w:w="3681" w:type="dxa"/>
          </w:tcPr>
          <w:p w:rsidR="00C86A7D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Трудоспособный возраст</w:t>
            </w:r>
          </w:p>
        </w:tc>
        <w:tc>
          <w:tcPr>
            <w:tcW w:w="1984" w:type="dxa"/>
            <w:gridSpan w:val="2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7378</w:t>
            </w:r>
          </w:p>
        </w:tc>
        <w:tc>
          <w:tcPr>
            <w:tcW w:w="1843" w:type="dxa"/>
            <w:gridSpan w:val="3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7543</w:t>
            </w:r>
          </w:p>
        </w:tc>
        <w:tc>
          <w:tcPr>
            <w:tcW w:w="1837" w:type="dxa"/>
            <w:gridSpan w:val="2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</w:tr>
      <w:tr w:rsidR="00C86A7D" w:rsidTr="00B34083">
        <w:tc>
          <w:tcPr>
            <w:tcW w:w="3681" w:type="dxa"/>
          </w:tcPr>
          <w:p w:rsidR="00C86A7D" w:rsidRDefault="00C86A7D" w:rsidP="0041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984" w:type="dxa"/>
            <w:gridSpan w:val="2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1843" w:type="dxa"/>
            <w:gridSpan w:val="3"/>
          </w:tcPr>
          <w:p w:rsidR="00C86A7D" w:rsidRPr="0041511F" w:rsidRDefault="00C86A7D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  <w:tc>
          <w:tcPr>
            <w:tcW w:w="1837" w:type="dxa"/>
            <w:gridSpan w:val="2"/>
          </w:tcPr>
          <w:p w:rsidR="00C86A7D" w:rsidRPr="0041511F" w:rsidRDefault="0041511F" w:rsidP="00B3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1F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</w:p>
        </w:tc>
      </w:tr>
    </w:tbl>
    <w:p w:rsidR="00C86A7D" w:rsidRDefault="00C86A7D" w:rsidP="00C86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A7D" w:rsidRDefault="00081446" w:rsidP="0041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остается на уровне 80-х и 90-х гг. Таким образом, </w:t>
      </w:r>
      <w:proofErr w:type="spellStart"/>
      <w:r w:rsidR="00C86A7D" w:rsidRPr="00994B83"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 w:rsidR="00C86A7D" w:rsidRPr="00994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и остается</w:t>
      </w:r>
      <w:r w:rsidR="00C86A7D" w:rsidRPr="00994B83">
        <w:rPr>
          <w:rFonts w:ascii="Times New Roman" w:hAnsi="Times New Roman" w:cs="Times New Roman"/>
          <w:sz w:val="28"/>
          <w:szCs w:val="28"/>
        </w:rPr>
        <w:t xml:space="preserve"> </w:t>
      </w:r>
      <w:r w:rsidR="00C86A7D">
        <w:rPr>
          <w:rFonts w:ascii="Times New Roman" w:hAnsi="Times New Roman" w:cs="Times New Roman"/>
          <w:sz w:val="28"/>
          <w:szCs w:val="28"/>
        </w:rPr>
        <w:t>вторым городским округо</w:t>
      </w:r>
      <w:r>
        <w:rPr>
          <w:rFonts w:ascii="Times New Roman" w:hAnsi="Times New Roman" w:cs="Times New Roman"/>
          <w:sz w:val="28"/>
          <w:szCs w:val="28"/>
        </w:rPr>
        <w:t xml:space="preserve">м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="00C86A7D">
        <w:rPr>
          <w:rFonts w:ascii="Times New Roman" w:hAnsi="Times New Roman" w:cs="Times New Roman"/>
          <w:sz w:val="28"/>
          <w:szCs w:val="28"/>
        </w:rPr>
        <w:t xml:space="preserve"> и </w:t>
      </w:r>
      <w:r w:rsidR="00C86A7D" w:rsidRPr="00994B83">
        <w:rPr>
          <w:rFonts w:ascii="Times New Roman" w:hAnsi="Times New Roman" w:cs="Times New Roman"/>
          <w:sz w:val="28"/>
          <w:szCs w:val="28"/>
        </w:rPr>
        <w:t>западным экономическим центром Республ</w:t>
      </w:r>
      <w:r w:rsidR="0041511F">
        <w:rPr>
          <w:rFonts w:ascii="Times New Roman" w:hAnsi="Times New Roman" w:cs="Times New Roman"/>
          <w:sz w:val="28"/>
          <w:szCs w:val="28"/>
        </w:rPr>
        <w:t>ики Тыва из-за географического расположения</w:t>
      </w:r>
      <w:r w:rsidR="00C86A7D">
        <w:rPr>
          <w:rFonts w:ascii="Times New Roman" w:hAnsi="Times New Roman" w:cs="Times New Roman"/>
          <w:sz w:val="28"/>
          <w:szCs w:val="28"/>
        </w:rPr>
        <w:t xml:space="preserve"> на пересечении автомобильных дорог </w:t>
      </w:r>
      <w:r w:rsidR="00C86A7D" w:rsidRPr="00994B83">
        <w:rPr>
          <w:rFonts w:ascii="Times New Roman" w:hAnsi="Times New Roman" w:cs="Times New Roman"/>
          <w:sz w:val="28"/>
          <w:szCs w:val="28"/>
        </w:rPr>
        <w:t>Абакан-Ак-Довурак</w:t>
      </w:r>
      <w:r w:rsidR="0041511F">
        <w:rPr>
          <w:rFonts w:ascii="Times New Roman" w:hAnsi="Times New Roman" w:cs="Times New Roman"/>
          <w:sz w:val="28"/>
          <w:szCs w:val="28"/>
        </w:rPr>
        <w:t xml:space="preserve"> </w:t>
      </w:r>
      <w:r w:rsidR="00C86A7D" w:rsidRPr="00994B83">
        <w:rPr>
          <w:rFonts w:ascii="Times New Roman" w:hAnsi="Times New Roman" w:cs="Times New Roman"/>
          <w:sz w:val="28"/>
          <w:szCs w:val="28"/>
        </w:rPr>
        <w:t>и Кызыл-Тээли</w:t>
      </w:r>
      <w:r w:rsidR="00C86A7D">
        <w:rPr>
          <w:rFonts w:ascii="Times New Roman" w:hAnsi="Times New Roman" w:cs="Times New Roman"/>
          <w:sz w:val="28"/>
          <w:szCs w:val="28"/>
        </w:rPr>
        <w:t xml:space="preserve">, которая пересекает основные крупные муниципальные образования Республики Тыва. </w:t>
      </w:r>
    </w:p>
    <w:p w:rsidR="00081446" w:rsidRDefault="00081446" w:rsidP="000814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61">
        <w:rPr>
          <w:rFonts w:ascii="Times New Roman" w:hAnsi="Times New Roman" w:cs="Times New Roman"/>
          <w:b/>
          <w:sz w:val="28"/>
          <w:szCs w:val="28"/>
        </w:rPr>
        <w:lastRenderedPageBreak/>
        <w:t>Основные индикативные показатели</w:t>
      </w:r>
    </w:p>
    <w:p w:rsidR="00081446" w:rsidRDefault="00081446" w:rsidP="000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28"/>
      </w:tblGrid>
      <w:tr w:rsidR="00081446" w:rsidTr="00B34083">
        <w:tc>
          <w:tcPr>
            <w:tcW w:w="5949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2012г.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 крупных и средних предприятий (</w:t>
            </w:r>
            <w:proofErr w:type="spellStart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149,6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157,9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(</w:t>
            </w:r>
            <w:proofErr w:type="spellStart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в.т.ч</w:t>
            </w:r>
            <w:proofErr w:type="spellEnd"/>
            <w:r w:rsidRPr="00A01861">
              <w:rPr>
                <w:rFonts w:ascii="Times New Roman" w:hAnsi="Times New Roman" w:cs="Times New Roman"/>
                <w:sz w:val="28"/>
                <w:szCs w:val="28"/>
              </w:rPr>
              <w:t>. за счет частных инвестиций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33,9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369,5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698,2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698,6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8,48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52,1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49,6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жилья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</w:tr>
      <w:tr w:rsidR="00081446" w:rsidTr="00B34083">
        <w:tc>
          <w:tcPr>
            <w:tcW w:w="5949" w:type="dxa"/>
          </w:tcPr>
          <w:p w:rsidR="00081446" w:rsidRPr="00A01861" w:rsidRDefault="00081446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 налоговых и неналоговых доходов(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1134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28" w:type="dxa"/>
          </w:tcPr>
          <w:p w:rsidR="00081446" w:rsidRDefault="00081446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</w:tbl>
    <w:p w:rsidR="00C86A7D" w:rsidRDefault="00C86A7D" w:rsidP="00C86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446" w:rsidRDefault="00081446" w:rsidP="00C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46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41511F">
        <w:rPr>
          <w:rFonts w:ascii="Times New Roman" w:hAnsi="Times New Roman" w:cs="Times New Roman"/>
          <w:sz w:val="28"/>
          <w:szCs w:val="28"/>
        </w:rPr>
        <w:t>10 лет отмечаем</w:t>
      </w:r>
      <w:r>
        <w:rPr>
          <w:rFonts w:ascii="Times New Roman" w:hAnsi="Times New Roman" w:cs="Times New Roman"/>
          <w:sz w:val="28"/>
          <w:szCs w:val="28"/>
        </w:rPr>
        <w:t xml:space="preserve"> рост оборота розничной торговли и общественного питания. Кроме того, значительно увеличили</w:t>
      </w:r>
      <w:r w:rsidR="00CF51F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показатели по вводу жилья, несмотря на снижение инвестиций в основной капитал.</w:t>
      </w:r>
    </w:p>
    <w:p w:rsidR="004E6AC3" w:rsidRPr="00125129" w:rsidRDefault="004E6AC3" w:rsidP="004E6A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Доходная часть бюджета за 2022 год выполнена на 99,9% </w:t>
      </w:r>
      <w:r w:rsidR="00125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плане 1000342,8 тыс. рублей, </w:t>
      </w:r>
      <w:r w:rsidRPr="00125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выполнение составило 999402,7 тыс. рублей. </w:t>
      </w:r>
      <w:r w:rsidRPr="001251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6AC3" w:rsidRPr="00125129" w:rsidRDefault="004E6AC3" w:rsidP="004E6A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129">
        <w:rPr>
          <w:rFonts w:ascii="Times New Roman" w:eastAsia="Calibri" w:hAnsi="Times New Roman" w:cs="Times New Roman"/>
          <w:sz w:val="28"/>
          <w:szCs w:val="28"/>
        </w:rPr>
        <w:t>Безвозмездные поступления исполнены в сумме 941519,9 тыс. рублей при плане 942616,8 тыс. рублей или 99,9%. Неисполнение составило 1096,9 тыс. рублей, в связи с отсутствием потребности для исполнения.</w:t>
      </w:r>
    </w:p>
    <w:p w:rsidR="004E6AC3" w:rsidRPr="00247D76" w:rsidRDefault="004E6AC3" w:rsidP="004E6AC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76">
        <w:rPr>
          <w:rFonts w:ascii="Times New Roman" w:eastAsia="Calibri" w:hAnsi="Times New Roman" w:cs="Times New Roman"/>
          <w:sz w:val="28"/>
          <w:szCs w:val="28"/>
        </w:rPr>
        <w:t xml:space="preserve">Плановые назначения </w:t>
      </w:r>
      <w:r w:rsidRPr="00247D76">
        <w:rPr>
          <w:rFonts w:ascii="Times New Roman" w:eastAsia="Calibri" w:hAnsi="Times New Roman" w:cs="Times New Roman"/>
          <w:b/>
          <w:sz w:val="28"/>
          <w:szCs w:val="28"/>
        </w:rPr>
        <w:t>налоговых и неналоговых доходов</w:t>
      </w:r>
      <w:r w:rsidRPr="00247D76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01.01.2023 года городского округа г. Ак-Довурак</w:t>
      </w:r>
      <w:r w:rsidRPr="00247D7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47D76">
        <w:rPr>
          <w:rFonts w:ascii="Times New Roman" w:eastAsia="Calibri" w:hAnsi="Times New Roman" w:cs="Times New Roman"/>
          <w:sz w:val="28"/>
          <w:szCs w:val="28"/>
        </w:rPr>
        <w:t>исполнены на 100,3% (при плане 57726,0 тыс. рублей поступило 578</w:t>
      </w:r>
      <w:r w:rsidR="0041511F">
        <w:rPr>
          <w:rFonts w:ascii="Times New Roman" w:eastAsia="Calibri" w:hAnsi="Times New Roman" w:cs="Times New Roman"/>
          <w:sz w:val="28"/>
          <w:szCs w:val="28"/>
        </w:rPr>
        <w:t>82,8 тыс. рублей), в сравнении</w:t>
      </w:r>
      <w:r w:rsidRPr="00247D76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прошлого года наблюдается рост на</w:t>
      </w:r>
      <w:r w:rsidR="0041511F">
        <w:rPr>
          <w:rFonts w:ascii="Times New Roman" w:eastAsia="Calibri" w:hAnsi="Times New Roman" w:cs="Times New Roman"/>
          <w:sz w:val="28"/>
          <w:szCs w:val="28"/>
        </w:rPr>
        <w:t xml:space="preserve"> 39,2% или 16296,3 тыс. рублей</w:t>
      </w:r>
      <w:r w:rsidRPr="00247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AC3" w:rsidRPr="00247D76" w:rsidRDefault="004E6AC3" w:rsidP="004E6AC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76">
        <w:rPr>
          <w:rFonts w:ascii="Times New Roman" w:eastAsia="Calibri" w:hAnsi="Times New Roman" w:cs="Times New Roman"/>
          <w:sz w:val="28"/>
          <w:szCs w:val="28"/>
        </w:rPr>
        <w:t>Основными доходными источни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ками бюджета городского округа </w:t>
      </w:r>
      <w:r w:rsidRPr="00247D76">
        <w:rPr>
          <w:rFonts w:ascii="Times New Roman" w:eastAsia="Calibri" w:hAnsi="Times New Roman" w:cs="Times New Roman"/>
          <w:sz w:val="28"/>
          <w:szCs w:val="28"/>
        </w:rPr>
        <w:t>г. Ак-Довурак по состоянию на 01.01.2023 года</w:t>
      </w:r>
      <w:r w:rsidRPr="00247D7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47D76">
        <w:rPr>
          <w:rFonts w:ascii="Times New Roman" w:eastAsia="Calibri" w:hAnsi="Times New Roman" w:cs="Times New Roman"/>
          <w:sz w:val="28"/>
          <w:szCs w:val="28"/>
        </w:rPr>
        <w:t>являются: налоги на доходы физических лиц (48%); налоги на совокупный доход доля в общем объеме поступлений 28%; доходы от продажи материальных и нематериальных активов (7%); доходы от использования имущества (4,7%); доходы по акцизам на нефтепродукты (2,9%).</w:t>
      </w:r>
    </w:p>
    <w:p w:rsidR="004E6AC3" w:rsidRDefault="004E6AC3" w:rsidP="004E6AC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Расходы бюджета направлены на:</w:t>
      </w:r>
    </w:p>
    <w:p w:rsidR="004E6AC3" w:rsidRDefault="004E6AC3" w:rsidP="004E6AC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фонд оплаты труда  559 182 тыс.руб.           (56%);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социальные выплаты  300 858 тысюруб.      (30%);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коммунальные расходы  53 298 тыс.руб.      (5%).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Pr="008501D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501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Исполнение бюджетных обязательств за 2022 г. по всем направлениям</w:t>
      </w:r>
    </w:p>
    <w:p w:rsidR="004E6AC3" w:rsidRDefault="004E6AC3" w:rsidP="00CF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64"/>
        <w:gridCol w:w="1695"/>
        <w:gridCol w:w="1813"/>
        <w:gridCol w:w="1259"/>
      </w:tblGrid>
      <w:tr w:rsidR="004E6AC3" w:rsidTr="00B34083">
        <w:tc>
          <w:tcPr>
            <w:tcW w:w="3114" w:type="dxa"/>
            <w:vMerge w:val="restart"/>
          </w:tcPr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501D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6231" w:type="dxa"/>
            <w:gridSpan w:val="4"/>
          </w:tcPr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501D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4E6AC3" w:rsidTr="00B34083">
        <w:tc>
          <w:tcPr>
            <w:tcW w:w="3114" w:type="dxa"/>
            <w:vMerge/>
          </w:tcPr>
          <w:p w:rsidR="004E6AC3" w:rsidRDefault="004E6AC3" w:rsidP="00B34083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</w:tcPr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501D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Всего</w:t>
            </w:r>
            <w:r w:rsidR="00CF51F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(тыс. руб)</w:t>
            </w:r>
          </w:p>
        </w:tc>
        <w:tc>
          <w:tcPr>
            <w:tcW w:w="1695" w:type="dxa"/>
          </w:tcPr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3" w:type="dxa"/>
          </w:tcPr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Респубдиканский бюджет</w:t>
            </w:r>
          </w:p>
        </w:tc>
        <w:tc>
          <w:tcPr>
            <w:tcW w:w="1259" w:type="dxa"/>
          </w:tcPr>
          <w:p w:rsidR="004E6AC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8501D3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Местный</w:t>
            </w:r>
          </w:p>
          <w:p w:rsidR="004E6AC3" w:rsidRPr="008501D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8501D3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4E6AC3" w:rsidTr="00B34083">
        <w:tc>
          <w:tcPr>
            <w:tcW w:w="9345" w:type="dxa"/>
            <w:gridSpan w:val="5"/>
          </w:tcPr>
          <w:p w:rsidR="004E6AC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Образование 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Горячее питание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15 689,50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15 689,50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Строительство спортивных площадок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Капитальный ремонт щколы № 1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44 200,0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44 200,0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E6AC3" w:rsidTr="00B34083">
        <w:tc>
          <w:tcPr>
            <w:tcW w:w="9345" w:type="dxa"/>
            <w:gridSpan w:val="5"/>
          </w:tcPr>
          <w:p w:rsidR="004E6AC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Дорожное хозяйство 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5F4DEA" w:rsidP="005F4DEA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Ремонт дорог по</w:t>
            </w:r>
            <w:r w:rsidR="004E6AC3"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улицам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176F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17 097,5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16 242,6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854,9</w:t>
            </w:r>
          </w:p>
        </w:tc>
      </w:tr>
      <w:tr w:rsidR="004E6AC3" w:rsidTr="00B34083">
        <w:tc>
          <w:tcPr>
            <w:tcW w:w="9345" w:type="dxa"/>
            <w:gridSpan w:val="5"/>
          </w:tcPr>
          <w:p w:rsidR="004E6AC3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Благоустройство 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Ликвидация стихийной свалки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537,0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537,0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4347,0</w:t>
            </w:r>
          </w:p>
        </w:tc>
        <w:tc>
          <w:tcPr>
            <w:tcW w:w="1695" w:type="dxa"/>
          </w:tcPr>
          <w:p w:rsidR="004E6AC3" w:rsidRPr="00F176F9" w:rsidRDefault="00CF51FA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3808,53</w:t>
            </w:r>
          </w:p>
        </w:tc>
        <w:tc>
          <w:tcPr>
            <w:tcW w:w="1813" w:type="dxa"/>
          </w:tcPr>
          <w:p w:rsidR="004E6AC3" w:rsidRPr="00F176F9" w:rsidRDefault="00CF51FA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38,47</w:t>
            </w:r>
          </w:p>
        </w:tc>
        <w:tc>
          <w:tcPr>
            <w:tcW w:w="1259" w:type="dxa"/>
          </w:tcPr>
          <w:p w:rsidR="004E6AC3" w:rsidRPr="00F176F9" w:rsidRDefault="00CF51FA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500</w:t>
            </w:r>
          </w:p>
        </w:tc>
      </w:tr>
      <w:tr w:rsidR="004E6AC3" w:rsidTr="00B34083">
        <w:tc>
          <w:tcPr>
            <w:tcW w:w="3114" w:type="dxa"/>
          </w:tcPr>
          <w:p w:rsidR="004E6AC3" w:rsidRPr="005F4DEA" w:rsidRDefault="004E6AC3" w:rsidP="00B34083">
            <w:pPr>
              <w:tabs>
                <w:tab w:val="left" w:pos="5445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F4DE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Строительство домов для детей сирот</w:t>
            </w:r>
          </w:p>
        </w:tc>
        <w:tc>
          <w:tcPr>
            <w:tcW w:w="1464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8044,9</w:t>
            </w:r>
          </w:p>
        </w:tc>
        <w:tc>
          <w:tcPr>
            <w:tcW w:w="1695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8044,9</w:t>
            </w:r>
          </w:p>
        </w:tc>
        <w:tc>
          <w:tcPr>
            <w:tcW w:w="1813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</w:tcPr>
          <w:p w:rsidR="004E6AC3" w:rsidRPr="00F176F9" w:rsidRDefault="004E6AC3" w:rsidP="00B34083">
            <w:pPr>
              <w:tabs>
                <w:tab w:val="left" w:pos="54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</w:tbl>
    <w:p w:rsidR="004E6AC3" w:rsidRDefault="004E6AC3" w:rsidP="00C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C171E">
        <w:rPr>
          <w:rFonts w:ascii="Times New Roman" w:hAnsi="Times New Roman"/>
          <w:b/>
          <w:noProof/>
          <w:sz w:val="28"/>
          <w:szCs w:val="28"/>
          <w:lang w:eastAsia="ru-RU"/>
        </w:rPr>
        <w:t>Инфраструктура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9C171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города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E6AC3" w:rsidRPr="009C171E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Pr="009C171E"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noProof/>
          <w:sz w:val="28"/>
          <w:szCs w:val="28"/>
          <w:lang w:eastAsia="ru-RU"/>
        </w:rPr>
        <w:t>городе функционируют Ак-Довуракская ТЭЦ, которая обеспечивает теплоснабжением, МУ МПП ЖКХ, которая обеспечивает водоснабжением, и водоотведением, 47 многоквартирных домов, 27 муниципальных социальных объектов, 221 частных домов с центральным отоплением и 899 частных домов с печным отоплением.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</w:t>
      </w:r>
      <w:proofErr w:type="spellEnd"/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01.01.2023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составляет </w:t>
      </w:r>
      <w:r w:rsidR="00CF51FA">
        <w:rPr>
          <w:rFonts w:ascii="Times New Roman" w:eastAsia="Times New Roman" w:hAnsi="Times New Roman" w:cs="Times New Roman"/>
          <w:sz w:val="28"/>
          <w:szCs w:val="28"/>
          <w:lang w:eastAsia="ru-RU"/>
        </w:rPr>
        <w:t>204,2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обеспеченность жильем на одного жителя, составляет </w:t>
      </w:r>
      <w:r w:rsidR="00CF51FA">
        <w:rPr>
          <w:rFonts w:ascii="Times New Roman" w:eastAsia="Times New Roman" w:hAnsi="Times New Roman" w:cs="Times New Roman"/>
          <w:sz w:val="28"/>
          <w:szCs w:val="28"/>
          <w:lang w:eastAsia="ru-RU"/>
        </w:rPr>
        <w:t>14,97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метров.</w:t>
      </w:r>
    </w:p>
    <w:p w:rsidR="004E6AC3" w:rsidRPr="009C171E" w:rsidRDefault="004E6AC3" w:rsidP="0012512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многоквартирных домов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управляющих компаний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 «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Угулза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2 дома, ТСЖ «Сайзырал»1 дом, ТСЖ «Уютный дом» 2 дома, ТСН «Успех» 2 дома, ООО «Строитель» 12 домов, ООО «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» 27 домов.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многоквартирных жилых домов всего 47. В 2022 году введен в эксплуатацию один 27-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квартирный жилой дом. </w:t>
      </w:r>
    </w:p>
    <w:p w:rsidR="004E6AC3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в сфере предоставления жилищных услуг работают с низкой эффективностью. Организация по обслуживанию жилищного фонда находится на низком уровне удовлетворенности населения.</w:t>
      </w:r>
    </w:p>
    <w:p w:rsidR="00DD1788" w:rsidRPr="009C171E" w:rsidRDefault="00DD1788" w:rsidP="00DD1788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собираемости платежей за предоставленные жилищно-к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оммунальные услуги на 01.01.2023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45-50%.</w:t>
      </w:r>
    </w:p>
    <w:p w:rsidR="00DD1788" w:rsidRPr="009C171E" w:rsidRDefault="00DD1788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одной из проблем функционирования предприятий ЖКХ является низкая платежеспособность населения за потребленные коммунальные услуги. 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населения по коммунальным услугам составляет 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млн. рублей. Из 2315 квартир по итогам 2022г. 648 квартирам на оплату коммунальных услуг выплачено всего 27 473 000 руб. На счета всех УК за 2022г. всего поступили по субсидиям 262 704 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 4                                    – 562 квартир                      1 187 541 руб.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МПП ЖКХ                    - 546 квартир                      111 758 руб.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– 588 квартир                      166 686 руб.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ТСП                              – 521 квартир                      44 096 руб.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Капремонт                             – 241 квартир                      42 184 руб. 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Многие семьи не могут оформить субсидии из-за </w:t>
      </w:r>
      <w:r w:rsidR="00D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женностей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подтвержденной судебным</w:t>
      </w:r>
      <w:r w:rsidR="00D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решениями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жилищного фонда, оборудованная водопроводом, канализацией, центральным отоплением 61,1 % от общей площади жилищного фонда города. Процент износа жилфонда 95%. Ежегодно город участвует в региональной программе по капитальному ремонту многоквартирных домов. В 2022 году проведен частичный ремонт системы теплоснабжения многоквартирного дома по ул. Центральная д.8. 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всего города осуществляется от головного водозабора, который находится в 2,7 км от городской застройки. Введен в эксплуатацию в 1967г. Функционирует 6 скважин, из них в рабочем состоянии 5. Объем добычи воды составляет в среднем 3800 м3/сутки.  Общая протяженность сетей водоснабжения   составляет 45 км. Протяженность сетей водоотведения 38 км. Всего канализационных насосных станций 5. Эксплуатация сооружения I очереди с 1968г. Эксплуатация сооружения II очереди с 1976 г. С начала 90-х годов все очистные сооружения разрушены и не функционируют. В настоящее время выпуск канализационных стоков осуществляется на рельеф без очистки. Общий объем стоков составля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около 3200 </w:t>
      </w:r>
      <w:proofErr w:type="spellStart"/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домов с печным отоплением 899. Потребность в каменном угле на отопительный сезон составляет в среднем 4000 т. По </w:t>
      </w:r>
      <w:r w:rsidR="00CF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губернаторскому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«Социальный уголь» </w:t>
      </w:r>
      <w:r w:rsidR="00CF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участие приняли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семей. Все семьи обеспечены углем. 5 семей мобилизованных граждан обеспечены углем по 3 т.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Топливный склад работает в штатном режиме. Стоимость угля с января 2023г. для населения 3723 руб.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Ак-</w:t>
      </w:r>
      <w:proofErr w:type="spellStart"/>
      <w:r w:rsidRPr="009C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Довуракская</w:t>
      </w:r>
      <w:proofErr w:type="spellEnd"/>
      <w:r w:rsidRPr="009C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ТЭЦ.</w:t>
      </w:r>
    </w:p>
    <w:p w:rsidR="004E6AC3" w:rsidRPr="009C171E" w:rsidRDefault="004E6AC3" w:rsidP="004E6AC3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AC3" w:rsidRPr="009C171E" w:rsidRDefault="004E6AC3" w:rsidP="00125129">
      <w:pPr>
        <w:tabs>
          <w:tab w:val="left" w:pos="1134"/>
        </w:tabs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Функционирует 3 рабочих котла - 6, 7 и 8 средней мощностью 22 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Гкалл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котел. Потребность города составляет в среднем 32 </w:t>
      </w:r>
      <w:proofErr w:type="spellStart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Гкалл</w:t>
      </w:r>
      <w:proofErr w:type="spellEnd"/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 угля составляет в среднем 125т./сутки на 1 котел.  Потребность в каменном 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угле на весь отопительный сезон составляет 36 тыс. т. Общая протяженность те</w:t>
      </w:r>
      <w:r w:rsidR="00125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плотрасс по городу составляет 17</w:t>
      </w:r>
      <w:r w:rsidRPr="009C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Ежегодно на капремонт котлов расходуют в среднем 20 млн. руб. Кроме того, проводят ежегодную замену тепловых сетей от 800 до 1000 м. Износ тепловых сетей в настоящее время составляет 80%. 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Здравоохранение 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598D">
        <w:rPr>
          <w:rFonts w:ascii="Times New Roman" w:hAnsi="Times New Roman" w:cs="Times New Roman"/>
          <w:sz w:val="28"/>
          <w:szCs w:val="28"/>
        </w:rPr>
        <w:t>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оказывает Барун-Хемчикский ММЦ. </w:t>
      </w:r>
      <w:r w:rsidRPr="0046598D">
        <w:rPr>
          <w:rFonts w:ascii="Times New Roman" w:hAnsi="Times New Roman" w:cs="Times New Roman"/>
          <w:sz w:val="28"/>
          <w:szCs w:val="28"/>
        </w:rPr>
        <w:t>Образован в соответствии с постановлением Правительства Республики Тыва от 3 декабря 2012 г. № 672 в результате реорганизации двух учреждений «</w:t>
      </w:r>
      <w:proofErr w:type="spellStart"/>
      <w:r w:rsidRPr="0046598D">
        <w:rPr>
          <w:rFonts w:ascii="Times New Roman" w:hAnsi="Times New Roman" w:cs="Times New Roman"/>
          <w:sz w:val="28"/>
          <w:szCs w:val="28"/>
        </w:rPr>
        <w:t>Барун-Хемчикская</w:t>
      </w:r>
      <w:proofErr w:type="spellEnd"/>
      <w:r w:rsidRPr="0046598D">
        <w:rPr>
          <w:rFonts w:ascii="Times New Roman" w:hAnsi="Times New Roman" w:cs="Times New Roman"/>
          <w:sz w:val="28"/>
          <w:szCs w:val="28"/>
        </w:rPr>
        <w:t xml:space="preserve"> ЦКБ» и «Детск</w:t>
      </w:r>
      <w:r>
        <w:rPr>
          <w:rFonts w:ascii="Times New Roman" w:hAnsi="Times New Roman" w:cs="Times New Roman"/>
          <w:sz w:val="28"/>
          <w:szCs w:val="28"/>
        </w:rPr>
        <w:t>ая больница города Ак-Довурака».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98D">
        <w:rPr>
          <w:rFonts w:ascii="Times New Roman" w:hAnsi="Times New Roman" w:cs="Times New Roman"/>
          <w:sz w:val="28"/>
          <w:szCs w:val="28"/>
        </w:rPr>
        <w:t xml:space="preserve">В структуру входят: 8 </w:t>
      </w:r>
      <w:proofErr w:type="spellStart"/>
      <w:r w:rsidRPr="0046598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46598D">
        <w:rPr>
          <w:rFonts w:ascii="Times New Roman" w:hAnsi="Times New Roman" w:cs="Times New Roman"/>
          <w:sz w:val="28"/>
          <w:szCs w:val="28"/>
        </w:rPr>
        <w:t>, клинико-диагностическая лаборатория, амбулаторно-поликлиническое отделение, поликлиника в с. Кызыл-Мажалык, детс</w:t>
      </w:r>
      <w:r>
        <w:rPr>
          <w:rFonts w:ascii="Times New Roman" w:hAnsi="Times New Roman" w:cs="Times New Roman"/>
          <w:sz w:val="28"/>
          <w:szCs w:val="28"/>
        </w:rPr>
        <w:t>кая поликлиника и 14 отделений.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98D">
        <w:rPr>
          <w:rFonts w:ascii="Times New Roman" w:hAnsi="Times New Roman" w:cs="Times New Roman"/>
          <w:sz w:val="28"/>
          <w:szCs w:val="28"/>
        </w:rPr>
        <w:t xml:space="preserve">Коечный фонд 212 круглосуточных коек, 26 дневной стационар, 5 по наркологии, 5 по </w:t>
      </w:r>
      <w:proofErr w:type="spellStart"/>
      <w:r w:rsidRPr="0046598D">
        <w:rPr>
          <w:rFonts w:ascii="Times New Roman" w:hAnsi="Times New Roman" w:cs="Times New Roman"/>
          <w:sz w:val="28"/>
          <w:szCs w:val="28"/>
        </w:rPr>
        <w:t>дерматов</w:t>
      </w:r>
      <w:r>
        <w:rPr>
          <w:rFonts w:ascii="Times New Roman" w:hAnsi="Times New Roman" w:cs="Times New Roman"/>
          <w:sz w:val="28"/>
          <w:szCs w:val="28"/>
        </w:rPr>
        <w:t>енерологии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14 при стационаре.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98D">
        <w:rPr>
          <w:rFonts w:ascii="Times New Roman" w:hAnsi="Times New Roman" w:cs="Times New Roman"/>
          <w:sz w:val="28"/>
          <w:szCs w:val="28"/>
        </w:rPr>
        <w:t>Всего по штату предусмотрено 828,5 штатных единиц</w:t>
      </w:r>
      <w:r>
        <w:rPr>
          <w:rFonts w:ascii="Times New Roman" w:hAnsi="Times New Roman" w:cs="Times New Roman"/>
          <w:sz w:val="28"/>
          <w:szCs w:val="28"/>
        </w:rPr>
        <w:t>, фактически работают 707 чел.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598D">
        <w:rPr>
          <w:rFonts w:ascii="Times New Roman" w:hAnsi="Times New Roman" w:cs="Times New Roman"/>
          <w:sz w:val="28"/>
          <w:szCs w:val="28"/>
        </w:rPr>
        <w:t xml:space="preserve"> Врачей по штату предусмотрено 129,75 ед. врачей, заня</w:t>
      </w:r>
      <w:r>
        <w:rPr>
          <w:rFonts w:ascii="Times New Roman" w:hAnsi="Times New Roman" w:cs="Times New Roman"/>
          <w:sz w:val="28"/>
          <w:szCs w:val="28"/>
        </w:rPr>
        <w:t>то 100,5 ед.,                  ф</w:t>
      </w:r>
      <w:r w:rsidRPr="0046598D">
        <w:rPr>
          <w:rFonts w:ascii="Times New Roman" w:hAnsi="Times New Roman" w:cs="Times New Roman"/>
          <w:sz w:val="28"/>
          <w:szCs w:val="28"/>
        </w:rPr>
        <w:t>актически работают - 75 врачей.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8D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организаций всего 15</w:t>
      </w:r>
      <w:r w:rsidRPr="0046598D">
        <w:rPr>
          <w:rFonts w:ascii="Times New Roman" w:hAnsi="Times New Roman" w:cs="Times New Roman"/>
          <w:sz w:val="28"/>
          <w:szCs w:val="28"/>
        </w:rPr>
        <w:t>: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98D">
        <w:rPr>
          <w:rFonts w:ascii="Times New Roman" w:hAnsi="Times New Roman" w:cs="Times New Roman"/>
          <w:sz w:val="28"/>
          <w:szCs w:val="28"/>
        </w:rPr>
        <w:t xml:space="preserve">4 общеобразовательных организаций, в них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598D">
        <w:rPr>
          <w:rFonts w:ascii="Times New Roman" w:hAnsi="Times New Roman" w:cs="Times New Roman"/>
          <w:sz w:val="28"/>
          <w:szCs w:val="28"/>
        </w:rPr>
        <w:t>2890 учащихся;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учреждения ДО</w:t>
      </w:r>
      <w:r w:rsidRPr="0046598D">
        <w:rPr>
          <w:rFonts w:ascii="Times New Roman" w:hAnsi="Times New Roman" w:cs="Times New Roman"/>
          <w:sz w:val="28"/>
          <w:szCs w:val="28"/>
        </w:rPr>
        <w:t xml:space="preserve"> с охватом                             1302 воспитанников;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98D">
        <w:rPr>
          <w:rFonts w:ascii="Times New Roman" w:hAnsi="Times New Roman" w:cs="Times New Roman"/>
          <w:sz w:val="28"/>
          <w:szCs w:val="28"/>
        </w:rPr>
        <w:t>8 детских садов с о</w:t>
      </w:r>
      <w:r>
        <w:rPr>
          <w:rFonts w:ascii="Times New Roman" w:hAnsi="Times New Roman" w:cs="Times New Roman"/>
          <w:sz w:val="28"/>
          <w:szCs w:val="28"/>
        </w:rPr>
        <w:t xml:space="preserve">бщим охватом                    </w:t>
      </w:r>
      <w:r w:rsidR="005F4DEA">
        <w:rPr>
          <w:rFonts w:ascii="Times New Roman" w:hAnsi="Times New Roman" w:cs="Times New Roman"/>
          <w:sz w:val="28"/>
          <w:szCs w:val="28"/>
        </w:rPr>
        <w:t>12</w:t>
      </w:r>
      <w:r w:rsidR="0020110D">
        <w:rPr>
          <w:rFonts w:ascii="Times New Roman" w:hAnsi="Times New Roman" w:cs="Times New Roman"/>
          <w:sz w:val="28"/>
          <w:szCs w:val="28"/>
        </w:rPr>
        <w:t xml:space="preserve">68 </w:t>
      </w:r>
      <w:r w:rsidR="005F4DEA">
        <w:rPr>
          <w:rFonts w:ascii="Times New Roman" w:hAnsi="Times New Roman" w:cs="Times New Roman"/>
          <w:sz w:val="28"/>
          <w:szCs w:val="28"/>
        </w:rPr>
        <w:t>детей.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Штатных единиц всего 945, из ни</w:t>
      </w:r>
      <w:r>
        <w:rPr>
          <w:rFonts w:ascii="Times New Roman" w:hAnsi="Times New Roman" w:cs="Times New Roman"/>
          <w:sz w:val="28"/>
          <w:szCs w:val="28"/>
        </w:rPr>
        <w:t>х педагогических работников 422, из них имеют: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 xml:space="preserve">       </w:t>
      </w:r>
      <w:r w:rsidR="005F4DEA">
        <w:rPr>
          <w:rFonts w:ascii="Times New Roman" w:hAnsi="Times New Roman" w:cs="Times New Roman"/>
          <w:sz w:val="28"/>
          <w:szCs w:val="28"/>
        </w:rPr>
        <w:t xml:space="preserve">              высшую категорию</w:t>
      </w:r>
      <w:r w:rsidRPr="0046598D">
        <w:rPr>
          <w:rFonts w:ascii="Times New Roman" w:hAnsi="Times New Roman" w:cs="Times New Roman"/>
          <w:sz w:val="28"/>
          <w:szCs w:val="28"/>
        </w:rPr>
        <w:t xml:space="preserve">   107   (25,3%)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4DEA">
        <w:rPr>
          <w:rFonts w:ascii="Times New Roman" w:hAnsi="Times New Roman" w:cs="Times New Roman"/>
          <w:sz w:val="28"/>
          <w:szCs w:val="28"/>
        </w:rPr>
        <w:t xml:space="preserve">      I               категорию</w:t>
      </w:r>
      <w:r w:rsidRPr="0046598D">
        <w:rPr>
          <w:rFonts w:ascii="Times New Roman" w:hAnsi="Times New Roman" w:cs="Times New Roman"/>
          <w:sz w:val="28"/>
          <w:szCs w:val="28"/>
        </w:rPr>
        <w:t xml:space="preserve">   139   (32%) 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 xml:space="preserve">                     СЗД         категория    43     (10%)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 xml:space="preserve">                      Без          категории    133   (31%)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Выдача аттестатов по результатам              ОГЭ   97%    (за 2021г. 86%)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Выдача аттестатов по результатам             ЕГЭ    85%    (за 2021г. 92%)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Средний балл Е</w:t>
      </w:r>
      <w:r>
        <w:rPr>
          <w:rFonts w:ascii="Times New Roman" w:hAnsi="Times New Roman" w:cs="Times New Roman"/>
          <w:sz w:val="28"/>
          <w:szCs w:val="28"/>
        </w:rPr>
        <w:t xml:space="preserve">ГЭ по русскому языку  </w:t>
      </w:r>
      <w:r w:rsidRPr="0046598D">
        <w:rPr>
          <w:rFonts w:ascii="Times New Roman" w:hAnsi="Times New Roman" w:cs="Times New Roman"/>
          <w:sz w:val="28"/>
          <w:szCs w:val="28"/>
        </w:rPr>
        <w:t xml:space="preserve"> 56,4 (по РТ 57,6), самый высокий 84 б.</w:t>
      </w:r>
    </w:p>
    <w:p w:rsidR="004E6AC3" w:rsidRPr="0046598D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D">
        <w:rPr>
          <w:rFonts w:ascii="Times New Roman" w:hAnsi="Times New Roman" w:cs="Times New Roman"/>
          <w:sz w:val="28"/>
          <w:szCs w:val="28"/>
        </w:rPr>
        <w:t>Средний балл по м</w:t>
      </w:r>
      <w:r>
        <w:rPr>
          <w:rFonts w:ascii="Times New Roman" w:hAnsi="Times New Roman" w:cs="Times New Roman"/>
          <w:sz w:val="28"/>
          <w:szCs w:val="28"/>
        </w:rPr>
        <w:t xml:space="preserve">атематике                 </w:t>
      </w:r>
      <w:r w:rsidRPr="0046598D">
        <w:rPr>
          <w:rFonts w:ascii="Times New Roman" w:hAnsi="Times New Roman" w:cs="Times New Roman"/>
          <w:sz w:val="28"/>
          <w:szCs w:val="28"/>
        </w:rPr>
        <w:t xml:space="preserve">  28,9 (по РТ 45,9), самый высокий 66 б.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94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1394">
        <w:rPr>
          <w:rFonts w:ascii="Times New Roman" w:hAnsi="Times New Roman" w:cs="Times New Roman"/>
          <w:sz w:val="28"/>
          <w:szCs w:val="28"/>
        </w:rPr>
        <w:t xml:space="preserve"> В управлении культуры всего 3 учреждений:</w:t>
      </w: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ДК имени </w:t>
      </w:r>
      <w:proofErr w:type="spellStart"/>
      <w:r w:rsidRPr="00263189">
        <w:rPr>
          <w:rFonts w:ascii="Times New Roman" w:hAnsi="Times New Roman" w:cs="Times New Roman"/>
          <w:b/>
          <w:sz w:val="28"/>
          <w:szCs w:val="28"/>
        </w:rPr>
        <w:t>Каадыр-оола</w:t>
      </w:r>
      <w:proofErr w:type="spellEnd"/>
      <w:r w:rsidRPr="00263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3189">
        <w:rPr>
          <w:rFonts w:ascii="Times New Roman" w:hAnsi="Times New Roman" w:cs="Times New Roman"/>
          <w:b/>
          <w:sz w:val="28"/>
          <w:szCs w:val="28"/>
        </w:rPr>
        <w:t>Сагды</w:t>
      </w:r>
      <w:proofErr w:type="spellEnd"/>
      <w:r w:rsidRPr="00263189">
        <w:rPr>
          <w:rFonts w:ascii="Times New Roman" w:hAnsi="Times New Roman" w:cs="Times New Roman"/>
          <w:b/>
          <w:sz w:val="28"/>
          <w:szCs w:val="28"/>
        </w:rPr>
        <w:t>.</w:t>
      </w:r>
      <w:r w:rsidRPr="00FD1394">
        <w:rPr>
          <w:rFonts w:ascii="Times New Roman" w:hAnsi="Times New Roman" w:cs="Times New Roman"/>
          <w:sz w:val="28"/>
          <w:szCs w:val="28"/>
        </w:rPr>
        <w:t xml:space="preserve"> Всего сотрудников 21, </w:t>
      </w:r>
      <w:bookmarkStart w:id="0" w:name="_GoBack"/>
      <w:bookmarkEnd w:id="0"/>
      <w:r w:rsidRPr="00FD1394">
        <w:rPr>
          <w:rFonts w:ascii="Times New Roman" w:hAnsi="Times New Roman" w:cs="Times New Roman"/>
          <w:sz w:val="28"/>
          <w:szCs w:val="28"/>
        </w:rPr>
        <w:t>из них с высшим профильным образованием 9 (43%), со средним профильным образованием 7 (33%), с иным 5 (24%).</w:t>
      </w: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1394">
        <w:rPr>
          <w:rFonts w:ascii="Times New Roman" w:hAnsi="Times New Roman" w:cs="Times New Roman"/>
          <w:sz w:val="28"/>
          <w:szCs w:val="28"/>
        </w:rPr>
        <w:t xml:space="preserve">На базе ДК работают 37 клубных формирований с общим охватом 609 человек, из них дети до 14 лет 309, молодежь с 14 до 35 лет 242, </w:t>
      </w: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лет и старше 58 человек. </w:t>
      </w:r>
      <w:r w:rsidRPr="00FD1394">
        <w:rPr>
          <w:rFonts w:ascii="Times New Roman" w:hAnsi="Times New Roman" w:cs="Times New Roman"/>
          <w:sz w:val="28"/>
          <w:szCs w:val="28"/>
        </w:rPr>
        <w:t>Всего проведено 670 мероприятий (АППГ 531).</w:t>
      </w: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89">
        <w:rPr>
          <w:rFonts w:ascii="Times New Roman" w:hAnsi="Times New Roman" w:cs="Times New Roman"/>
          <w:b/>
          <w:sz w:val="28"/>
          <w:szCs w:val="28"/>
        </w:rPr>
        <w:t xml:space="preserve">        Городская модельная библиотека.</w:t>
      </w:r>
      <w:r w:rsidRPr="00FD1394">
        <w:rPr>
          <w:rFonts w:ascii="Times New Roman" w:hAnsi="Times New Roman" w:cs="Times New Roman"/>
          <w:sz w:val="28"/>
          <w:szCs w:val="28"/>
        </w:rPr>
        <w:t xml:space="preserve"> Сотрудников всего 4, из них библиотекари 3. Работают 3 клубных формирований с охватом 60 человек. Количество читателей за 2022г. 4289 человек (АППГ 3234).</w:t>
      </w:r>
    </w:p>
    <w:p w:rsidR="004E6AC3" w:rsidRPr="00FD1394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3189">
        <w:rPr>
          <w:rFonts w:ascii="Times New Roman" w:hAnsi="Times New Roman" w:cs="Times New Roman"/>
          <w:b/>
          <w:sz w:val="28"/>
          <w:szCs w:val="28"/>
        </w:rPr>
        <w:t>Детская школа искусств.</w:t>
      </w:r>
      <w:r w:rsidRPr="00FD1394">
        <w:rPr>
          <w:rFonts w:ascii="Times New Roman" w:hAnsi="Times New Roman" w:cs="Times New Roman"/>
          <w:sz w:val="28"/>
          <w:szCs w:val="28"/>
        </w:rPr>
        <w:t xml:space="preserve"> Всего работают 16 сотрудников, из них педагоги 12 – с высшей категорией 3 (25%), 1 категории 2 (16%)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94">
        <w:rPr>
          <w:rFonts w:ascii="Times New Roman" w:hAnsi="Times New Roman" w:cs="Times New Roman"/>
          <w:sz w:val="28"/>
          <w:szCs w:val="28"/>
        </w:rPr>
        <w:t xml:space="preserve">     Посещают всего 207 учащихся при проектной мощности 154.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30">
        <w:rPr>
          <w:rFonts w:ascii="Times New Roman" w:hAnsi="Times New Roman" w:cs="Times New Roman"/>
          <w:b/>
          <w:sz w:val="28"/>
          <w:szCs w:val="28"/>
        </w:rPr>
        <w:t>Правопорядок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189">
        <w:rPr>
          <w:rFonts w:ascii="Times New Roman" w:hAnsi="Times New Roman" w:cs="Times New Roman"/>
          <w:sz w:val="28"/>
          <w:szCs w:val="28"/>
        </w:rPr>
        <w:t>Всего з</w:t>
      </w:r>
      <w:r w:rsidRPr="00672730">
        <w:rPr>
          <w:rFonts w:ascii="Times New Roman" w:hAnsi="Times New Roman" w:cs="Times New Roman"/>
          <w:sz w:val="28"/>
          <w:szCs w:val="28"/>
        </w:rPr>
        <w:t>арегист</w:t>
      </w:r>
      <w:r>
        <w:rPr>
          <w:rFonts w:ascii="Times New Roman" w:hAnsi="Times New Roman" w:cs="Times New Roman"/>
          <w:sz w:val="28"/>
          <w:szCs w:val="28"/>
        </w:rPr>
        <w:t xml:space="preserve">рировано </w:t>
      </w:r>
      <w:r w:rsidR="00263189">
        <w:rPr>
          <w:rFonts w:ascii="Times New Roman" w:hAnsi="Times New Roman" w:cs="Times New Roman"/>
          <w:sz w:val="28"/>
          <w:szCs w:val="28"/>
        </w:rPr>
        <w:t>324 преступлений, за аналогичный период прошлого года 430, снижение</w:t>
      </w:r>
      <w:r w:rsidRPr="00672730">
        <w:rPr>
          <w:rFonts w:ascii="Times New Roman" w:hAnsi="Times New Roman" w:cs="Times New Roman"/>
          <w:sz w:val="28"/>
          <w:szCs w:val="28"/>
        </w:rPr>
        <w:t xml:space="preserve"> на 24%, из них: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>- Отмечает рост умышленных причинений тяжкого вреда здоровью -  22 против 18, в том числе со смертельным исходом – 1 против 0, а также не удалось сократить количество убийств - 5 против 5;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>- Уменьшились показатели разбойных нападений на 75 % (2 против 8), угонов на 71,4% (2 против7), грабежей на 45,7% (19 против 35), в том числе сотовых телефонов на 44 % (14 против 25), изнасилований на 62,5 % (3 против 8);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 xml:space="preserve"> -Уменьшилось количество преступлений на 26,5%, совершенных в общественных местах (127 против 173);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>- Уменьшилось количество дорожно-транспортных преступлений на 75 % (3 против 12), в котором погибло 2 человека (АППГ -7);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>- Несовершеннолетними совершено – 27 преступлений (АППГ- 30);</w:t>
      </w:r>
    </w:p>
    <w:p w:rsidR="004E6AC3" w:rsidRPr="00672730" w:rsidRDefault="004E6AC3" w:rsidP="004E6AC3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30">
        <w:rPr>
          <w:rFonts w:ascii="Times New Roman" w:hAnsi="Times New Roman" w:cs="Times New Roman"/>
          <w:sz w:val="28"/>
          <w:szCs w:val="28"/>
        </w:rPr>
        <w:t>- Изъято алкогольной продукции и спиртосодержащей жидкости всего 9 890л. (АППГ-3042л). Более 5000 литров изъято в IV квартале и новогодних праздниках.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проблемы </w:t>
      </w:r>
    </w:p>
    <w:p w:rsidR="004E6AC3" w:rsidRDefault="004E6AC3" w:rsidP="004E6AC3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C3" w:rsidRPr="00785649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Низкий уровень инвестиционной привлекательности;</w:t>
      </w:r>
    </w:p>
    <w:p w:rsidR="004E6AC3" w:rsidRPr="00785649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Высокий уровень износа инженерной и коммунальной инфраструктуры, жилищного фонда, производственных фондов хозяйствующих субъектов;</w:t>
      </w:r>
    </w:p>
    <w:p w:rsidR="004E6AC3" w:rsidRPr="00785649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Недостаточное развитие материально-технической базы объектов социальной сферы;</w:t>
      </w:r>
    </w:p>
    <w:p w:rsidR="004E6AC3" w:rsidRPr="00785649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Недостаточный уровень благоустройства города и отсутствие мест захоронения отходов;</w:t>
      </w:r>
    </w:p>
    <w:p w:rsidR="004E6AC3" w:rsidRPr="00785649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Неразвитая туристическая инфраструктура;</w:t>
      </w:r>
    </w:p>
    <w:p w:rsidR="004E6AC3" w:rsidRDefault="004E6AC3" w:rsidP="000F14FA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649">
        <w:rPr>
          <w:rFonts w:ascii="Times New Roman" w:hAnsi="Times New Roman" w:cs="Times New Roman"/>
          <w:sz w:val="28"/>
          <w:szCs w:val="28"/>
        </w:rPr>
        <w:t>Малая сумма собственных доходов местного бюджета.</w:t>
      </w:r>
    </w:p>
    <w:p w:rsidR="004F68D9" w:rsidRDefault="004F68D9" w:rsidP="00C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89" w:rsidRDefault="00263189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89" w:rsidRDefault="00263189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A" w:rsidRPr="000F14FA" w:rsidRDefault="000F14FA" w:rsidP="000F14F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социально-экономического развития города согласованы и синхронизированы с системой целей развития Республики Тыва.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1.</w:t>
      </w: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Наращивание экономического потенциала и повышение уровня инвестиционной привлекательности.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Улучшение инвестиционного климата в городе; 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Развитие предпринимательской деятельности на территории города;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2.</w:t>
      </w: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транспортной и инженерной инфраструктуры в городе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Сохранение и развитие транспортной инфраструктуры в городе;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Модернизация и развитие коммунальной инфраструктуры в городе;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Повышение </w:t>
      </w:r>
      <w:proofErr w:type="spellStart"/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3.</w:t>
      </w: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и качества жизни населения на территории города, накопление человеческого потенциала. 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Обеспечение повышения безопасности жизнедеятельности населения города; 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Повышение доступности медицинской помощи и эффективности предоставления медицинских услуг на территории города;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Создание условий для устойчивого развития муниципальной системы образования города, повышения качества и доступности образования;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Создание благоприятных условий для устойчивого развития сфер культуры и туризма в городе;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Создание условий для развития физической культуры и массового спорта, эффективной молодёжной политики на территории города; 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Создание условий для развития жилищного строительства в городе, в том числе индивидуального.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Увеличение уровня благоустройства города и развитие системы утилизации и переработки отходов.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 Увеличение средней заработной платы в реальном секторе экономики на основе развития и изменения структуры производственного сектора, сопровождающегося ростом производительности труда и созданием рабочих мест.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Сокращение неформальной занятости труда за счет развития рынка труда, системы профессионального обучения и переобучения, повышения правовой культуры населения. 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4.</w:t>
      </w: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муниципальное управление.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Совершенствование системы управления муниципальными финансами;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Повышение эффективности управления и распоряжения муниципальным имуществом;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Повышение эффективности муниципального управления.</w:t>
      </w:r>
    </w:p>
    <w:p w:rsidR="000F14FA" w:rsidRPr="00036CAB" w:rsidRDefault="000F14FA" w:rsidP="000F14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A" w:rsidRDefault="000F14FA" w:rsidP="000F1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D9" w:rsidRPr="001737E1" w:rsidRDefault="004F68D9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E1">
        <w:rPr>
          <w:rFonts w:ascii="Times New Roman" w:hAnsi="Times New Roman" w:cs="Times New Roman"/>
          <w:b/>
          <w:sz w:val="28"/>
          <w:szCs w:val="28"/>
        </w:rPr>
        <w:t>Информация по реализации нацпроектов на 2023 год</w:t>
      </w:r>
    </w:p>
    <w:p w:rsidR="004F68D9" w:rsidRDefault="004F68D9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E1">
        <w:rPr>
          <w:rFonts w:ascii="Times New Roman" w:hAnsi="Times New Roman" w:cs="Times New Roman"/>
          <w:b/>
          <w:sz w:val="28"/>
          <w:szCs w:val="28"/>
        </w:rPr>
        <w:t>в г. Ак-Довурак</w:t>
      </w:r>
    </w:p>
    <w:p w:rsidR="000F14FA" w:rsidRDefault="000F14FA" w:rsidP="004F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4677"/>
        <w:gridCol w:w="1553"/>
      </w:tblGrid>
      <w:tr w:rsidR="004F68D9" w:rsidTr="00B34083">
        <w:tc>
          <w:tcPr>
            <w:tcW w:w="3971" w:type="dxa"/>
          </w:tcPr>
          <w:p w:rsidR="004F68D9" w:rsidRPr="001737E1" w:rsidRDefault="004F68D9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677" w:type="dxa"/>
          </w:tcPr>
          <w:p w:rsidR="004F68D9" w:rsidRPr="001737E1" w:rsidRDefault="004F68D9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3" w:type="dxa"/>
          </w:tcPr>
          <w:p w:rsidR="004F68D9" w:rsidRPr="001737E1" w:rsidRDefault="004F68D9" w:rsidP="00B34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сумма </w:t>
            </w:r>
          </w:p>
        </w:tc>
      </w:tr>
      <w:tr w:rsidR="004F68D9" w:rsidTr="00B34083">
        <w:tc>
          <w:tcPr>
            <w:tcW w:w="3971" w:type="dxa"/>
          </w:tcPr>
          <w:p w:rsidR="004F68D9" w:rsidRPr="001737E1" w:rsidRDefault="004F68D9" w:rsidP="00B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sz w:val="28"/>
                <w:szCs w:val="28"/>
              </w:rPr>
              <w:t>Модернизация школьных систем образования в рамках государственной программы «Развитие образования»</w:t>
            </w:r>
          </w:p>
        </w:tc>
        <w:tc>
          <w:tcPr>
            <w:tcW w:w="4677" w:type="dxa"/>
          </w:tcPr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sz w:val="28"/>
                <w:szCs w:val="28"/>
              </w:rPr>
              <w:t>Капитальный ремонт школы № 4</w:t>
            </w:r>
          </w:p>
        </w:tc>
        <w:tc>
          <w:tcPr>
            <w:tcW w:w="1553" w:type="dxa"/>
          </w:tcPr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101 527,8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</w:p>
        </w:tc>
      </w:tr>
      <w:tr w:rsidR="004F68D9" w:rsidTr="00B34083">
        <w:tc>
          <w:tcPr>
            <w:tcW w:w="3971" w:type="dxa"/>
          </w:tcPr>
          <w:p w:rsidR="004F68D9" w:rsidRPr="001737E1" w:rsidRDefault="004F68D9" w:rsidP="00B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E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доступным и комфортным жильем и коммунальными услугами граждан РФ»</w:t>
            </w:r>
          </w:p>
        </w:tc>
        <w:tc>
          <w:tcPr>
            <w:tcW w:w="4677" w:type="dxa"/>
          </w:tcPr>
          <w:p w:rsidR="004F68D9" w:rsidRPr="00DE5D8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сертификата </w:t>
            </w:r>
          </w:p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3 молодым семьям</w:t>
            </w:r>
          </w:p>
        </w:tc>
        <w:tc>
          <w:tcPr>
            <w:tcW w:w="1553" w:type="dxa"/>
          </w:tcPr>
          <w:p w:rsidR="004F68D9" w:rsidRPr="00DE5D81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 </w:t>
            </w:r>
            <w:proofErr w:type="spellStart"/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F68D9" w:rsidTr="00B34083">
        <w:tc>
          <w:tcPr>
            <w:tcW w:w="3971" w:type="dxa"/>
          </w:tcPr>
          <w:p w:rsidR="004F68D9" w:rsidRPr="001737E1" w:rsidRDefault="004F68D9" w:rsidP="00B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«Обеспечение доступным и комфортным жильем и коммунальными услугами граждан РФ»</w:t>
            </w:r>
          </w:p>
        </w:tc>
        <w:tc>
          <w:tcPr>
            <w:tcW w:w="4677" w:type="dxa"/>
          </w:tcPr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Строительство 2 домов для детей сирот</w:t>
            </w:r>
          </w:p>
        </w:tc>
        <w:tc>
          <w:tcPr>
            <w:tcW w:w="1553" w:type="dxa"/>
          </w:tcPr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7000,0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.руб</w:t>
            </w:r>
            <w:proofErr w:type="spellEnd"/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F68D9" w:rsidTr="00B34083">
        <w:tc>
          <w:tcPr>
            <w:tcW w:w="3971" w:type="dxa"/>
          </w:tcPr>
          <w:p w:rsidR="004F68D9" w:rsidRPr="00DE5D81" w:rsidRDefault="004F68D9" w:rsidP="00B34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Жилье и городская среда</w:t>
            </w:r>
          </w:p>
        </w:tc>
        <w:tc>
          <w:tcPr>
            <w:tcW w:w="4677" w:type="dxa"/>
          </w:tcPr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Реконструкция водозабора</w:t>
            </w:r>
          </w:p>
        </w:tc>
        <w:tc>
          <w:tcPr>
            <w:tcW w:w="1553" w:type="dxa"/>
          </w:tcPr>
          <w:p w:rsidR="004F68D9" w:rsidRDefault="000F14FA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40 000,0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F68D9" w:rsidTr="00B34083">
        <w:tc>
          <w:tcPr>
            <w:tcW w:w="3971" w:type="dxa"/>
          </w:tcPr>
          <w:p w:rsidR="004F68D9" w:rsidRPr="00DE5D81" w:rsidRDefault="004F68D9" w:rsidP="00B34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b/>
                <w:sz w:val="28"/>
                <w:szCs w:val="28"/>
              </w:rPr>
              <w:t>Жилье и городская среда</w:t>
            </w:r>
          </w:p>
          <w:p w:rsidR="004F68D9" w:rsidRPr="001737E1" w:rsidRDefault="004F68D9" w:rsidP="00B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и общественных пространств города»</w:t>
            </w:r>
          </w:p>
        </w:tc>
        <w:tc>
          <w:tcPr>
            <w:tcW w:w="4677" w:type="dxa"/>
          </w:tcPr>
          <w:p w:rsidR="004F68D9" w:rsidRPr="00DE5D8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участка </w:t>
            </w:r>
          </w:p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E5D81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553" w:type="dxa"/>
          </w:tcPr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2040,0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F68D9" w:rsidTr="00B34083">
        <w:tc>
          <w:tcPr>
            <w:tcW w:w="3971" w:type="dxa"/>
          </w:tcPr>
          <w:p w:rsidR="004F68D9" w:rsidRPr="000E2B27" w:rsidRDefault="004F68D9" w:rsidP="00B34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B27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«Культура»</w:t>
            </w:r>
          </w:p>
        </w:tc>
        <w:tc>
          <w:tcPr>
            <w:tcW w:w="4677" w:type="dxa"/>
          </w:tcPr>
          <w:p w:rsidR="004F68D9" w:rsidRPr="001737E1" w:rsidRDefault="004F68D9" w:rsidP="00B3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детской модел</w:t>
            </w:r>
            <w:r w:rsidRPr="00DE5D81">
              <w:rPr>
                <w:rFonts w:ascii="Times New Roman" w:hAnsi="Times New Roman" w:cs="Times New Roman"/>
                <w:sz w:val="28"/>
                <w:szCs w:val="28"/>
              </w:rPr>
              <w:t>ьной библиотеки</w:t>
            </w:r>
          </w:p>
        </w:tc>
        <w:tc>
          <w:tcPr>
            <w:tcW w:w="1553" w:type="dxa"/>
          </w:tcPr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6000,0</w:t>
            </w:r>
          </w:p>
          <w:p w:rsidR="004F68D9" w:rsidRDefault="004F68D9" w:rsidP="00B3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F68D9" w:rsidRPr="00081446" w:rsidRDefault="004F68D9" w:rsidP="00C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8D9" w:rsidRPr="0008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0C"/>
    <w:rsid w:val="00081446"/>
    <w:rsid w:val="000F14FA"/>
    <w:rsid w:val="00125129"/>
    <w:rsid w:val="0020110D"/>
    <w:rsid w:val="00263189"/>
    <w:rsid w:val="002B148F"/>
    <w:rsid w:val="0041511F"/>
    <w:rsid w:val="004E230C"/>
    <w:rsid w:val="004E6AC3"/>
    <w:rsid w:val="004F68D9"/>
    <w:rsid w:val="005F4DEA"/>
    <w:rsid w:val="00815588"/>
    <w:rsid w:val="00C86A7D"/>
    <w:rsid w:val="00CF51FA"/>
    <w:rsid w:val="00DD1788"/>
    <w:rsid w:val="00F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О.Ч. Оолаковна</cp:lastModifiedBy>
  <cp:revision>7</cp:revision>
  <dcterms:created xsi:type="dcterms:W3CDTF">2023-02-06T04:57:00Z</dcterms:created>
  <dcterms:modified xsi:type="dcterms:W3CDTF">2023-02-09T02:34:00Z</dcterms:modified>
</cp:coreProperties>
</file>