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B8CA" w14:textId="77777777" w:rsidR="00AA7079" w:rsidRDefault="00C667BE" w:rsidP="00AA707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4887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16.8pt;width:58.5pt;height:48pt;z-index:251660288">
            <v:imagedata r:id="rId5" o:title=""/>
            <w10:wrap type="topAndBottom"/>
          </v:shape>
          <o:OLEObject Type="Embed" ProgID="PBrush" ShapeID="_x0000_s1026" DrawAspect="Content" ObjectID="_1761374951" r:id="rId6"/>
        </w:object>
      </w:r>
    </w:p>
    <w:p w14:paraId="3919E457" w14:textId="77777777" w:rsidR="00AA7079" w:rsidRPr="003B44E7" w:rsidRDefault="00AA7079" w:rsidP="00AA7079">
      <w:pPr>
        <w:jc w:val="center"/>
        <w:rPr>
          <w:sz w:val="28"/>
          <w:szCs w:val="28"/>
        </w:rPr>
      </w:pPr>
    </w:p>
    <w:p w14:paraId="3159B7F8" w14:textId="77777777" w:rsidR="00AA7079" w:rsidRDefault="0053381D" w:rsidP="00AA7079">
      <w:pPr>
        <w:pStyle w:val="a8"/>
        <w:jc w:val="left"/>
        <w:rPr>
          <w:b/>
          <w:bCs/>
        </w:rPr>
      </w:pPr>
      <w:r>
        <w:rPr>
          <w:b/>
          <w:bCs/>
        </w:rPr>
        <w:t>ХУРАЛ ПРЕДСТАВИТЕЛЕЙ г</w:t>
      </w:r>
      <w:r w:rsidR="00AA7079">
        <w:rPr>
          <w:b/>
          <w:bCs/>
        </w:rPr>
        <w:t>. АК-ДОВУРАКА РЕСПУБЛИКИ ТЫВА</w:t>
      </w:r>
    </w:p>
    <w:p w14:paraId="59F3812E" w14:textId="77777777" w:rsidR="00AA7079" w:rsidRDefault="00AA7079" w:rsidP="00AA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6DAFA49D" w14:textId="77777777"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14:paraId="064B1240" w14:textId="77777777"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ТОЛЭЭЛЕКЧИЛЕР ХУРАЛЫ</w:t>
      </w:r>
    </w:p>
    <w:p w14:paraId="0907D46E" w14:textId="77777777"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ШИИТПИР</w:t>
      </w:r>
    </w:p>
    <w:p w14:paraId="0C6D35C3" w14:textId="77777777" w:rsidR="00AA7079" w:rsidRDefault="00AA7079" w:rsidP="00AA7079">
      <w:pPr>
        <w:pStyle w:val="a8"/>
        <w:jc w:val="left"/>
      </w:pPr>
    </w:p>
    <w:p w14:paraId="54B43D59" w14:textId="0918F82F"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</w:t>
      </w:r>
      <w:r w:rsidR="00526975">
        <w:t xml:space="preserve">                        </w:t>
      </w:r>
      <w:r>
        <w:t xml:space="preserve">   № </w:t>
      </w:r>
      <w:r w:rsidR="00526975">
        <w:t xml:space="preserve">                           </w:t>
      </w:r>
      <w:r>
        <w:t>от «</w:t>
      </w:r>
      <w:r w:rsidR="00526975">
        <w:t xml:space="preserve">     </w:t>
      </w:r>
      <w:r>
        <w:t xml:space="preserve">» </w:t>
      </w:r>
      <w:r w:rsidR="002F2EA1">
        <w:t>дека</w:t>
      </w:r>
      <w:r w:rsidR="002E3009">
        <w:t>бря</w:t>
      </w:r>
      <w:r w:rsidR="0091325E">
        <w:t xml:space="preserve"> </w:t>
      </w:r>
      <w:r>
        <w:t>20</w:t>
      </w:r>
      <w:r w:rsidR="002469E8">
        <w:t>2</w:t>
      </w:r>
      <w:r w:rsidR="00526975">
        <w:t xml:space="preserve">3  </w:t>
      </w:r>
      <w:r>
        <w:t>г</w:t>
      </w:r>
    </w:p>
    <w:p w14:paraId="21A2726D" w14:textId="77777777"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00C7312" w14:textId="77777777"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A77193" w14:textId="7C2FA7D9"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14:paraId="3ABCEDF1" w14:textId="4220BF5C"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6975">
        <w:rPr>
          <w:rFonts w:ascii="Times New Roman" w:hAnsi="Times New Roman" w:cs="Times New Roman"/>
          <w:sz w:val="28"/>
          <w:szCs w:val="28"/>
        </w:rPr>
        <w:t>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526975">
        <w:rPr>
          <w:rFonts w:ascii="Times New Roman" w:hAnsi="Times New Roman" w:cs="Times New Roman"/>
          <w:sz w:val="28"/>
          <w:szCs w:val="28"/>
        </w:rPr>
        <w:t>6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D0112B6" w14:textId="77777777" w:rsidR="00105E78" w:rsidRPr="004C1782" w:rsidRDefault="00105E78" w:rsidP="004C1782">
      <w:pPr>
        <w:jc w:val="center"/>
        <w:rPr>
          <w:sz w:val="28"/>
          <w:szCs w:val="28"/>
        </w:rPr>
      </w:pPr>
    </w:p>
    <w:p w14:paraId="2D37B9FE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14:paraId="4DE71213" w14:textId="4B472B2A"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4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 xml:space="preserve">5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526975">
        <w:rPr>
          <w:rFonts w:ascii="Times New Roman" w:hAnsi="Times New Roman" w:cs="Times New Roman"/>
          <w:sz w:val="28"/>
          <w:szCs w:val="28"/>
        </w:rPr>
        <w:t>6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4AD43B6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B6AAA" w14:textId="6F281677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FD16FF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F07FBE3" w14:textId="486E81BB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526975">
        <w:rPr>
          <w:rFonts w:ascii="Times New Roman" w:hAnsi="Times New Roman" w:cs="Times New Roman"/>
          <w:sz w:val="28"/>
          <w:szCs w:val="28"/>
        </w:rPr>
        <w:t>865993,7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56FE51" w14:textId="7290ED77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526975">
        <w:rPr>
          <w:rFonts w:ascii="Times New Roman" w:hAnsi="Times New Roman" w:cs="Times New Roman"/>
          <w:sz w:val="28"/>
          <w:szCs w:val="28"/>
        </w:rPr>
        <w:t>865993,7</w:t>
      </w:r>
      <w:r w:rsidR="00526975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46754E0" w14:textId="77777777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0</w:t>
      </w:r>
      <w:r w:rsidR="001A5758">
        <w:rPr>
          <w:rFonts w:ascii="Times New Roman" w:hAnsi="Times New Roman" w:cs="Times New Roman"/>
          <w:sz w:val="28"/>
          <w:szCs w:val="28"/>
        </w:rPr>
        <w:t>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2FDAFD" w14:textId="4A6AB374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 xml:space="preserve">4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14:paraId="45F0C592" w14:textId="1BDD26A2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526975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526975">
        <w:rPr>
          <w:rFonts w:ascii="Times New Roman" w:hAnsi="Times New Roman" w:cs="Times New Roman"/>
          <w:sz w:val="28"/>
          <w:szCs w:val="28"/>
        </w:rPr>
        <w:t xml:space="preserve">6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14:paraId="40D84B94" w14:textId="1A95B69E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26975">
        <w:rPr>
          <w:rFonts w:ascii="Times New Roman" w:hAnsi="Times New Roman" w:cs="Times New Roman"/>
          <w:sz w:val="28"/>
          <w:szCs w:val="28"/>
        </w:rPr>
        <w:t xml:space="preserve"> 650661,8 </w:t>
      </w:r>
      <w:r w:rsidRPr="00FE4400">
        <w:rPr>
          <w:rFonts w:ascii="Times New Roman" w:hAnsi="Times New Roman" w:cs="Times New Roman"/>
          <w:sz w:val="28"/>
          <w:szCs w:val="28"/>
        </w:rPr>
        <w:t>тыс. рублей, на 202</w:t>
      </w:r>
      <w:r w:rsidR="00526975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6975">
        <w:rPr>
          <w:rFonts w:ascii="Times New Roman" w:hAnsi="Times New Roman" w:cs="Times New Roman"/>
          <w:sz w:val="28"/>
          <w:szCs w:val="28"/>
        </w:rPr>
        <w:t>659139,9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D848ED" w14:textId="7D52A963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6975">
        <w:rPr>
          <w:rFonts w:ascii="Times New Roman" w:hAnsi="Times New Roman" w:cs="Times New Roman"/>
          <w:sz w:val="28"/>
          <w:szCs w:val="28"/>
        </w:rPr>
        <w:t xml:space="preserve">650661,8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87295F9" w14:textId="4C33EDC1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526975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26975">
        <w:rPr>
          <w:rFonts w:ascii="Times New Roman" w:hAnsi="Times New Roman" w:cs="Times New Roman"/>
          <w:sz w:val="28"/>
          <w:szCs w:val="28"/>
        </w:rPr>
        <w:t>659139,9</w:t>
      </w:r>
      <w:r w:rsidR="00526975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EF03E30" w14:textId="5ED3AF53"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26975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18E6AEB" w14:textId="4E9471C2"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526975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526975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14:paraId="4FA864AE" w14:textId="77777777" w:rsidR="007E140F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B409B" w14:textId="77777777" w:rsidR="00343BFB" w:rsidRPr="00FE4400" w:rsidRDefault="00343BF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A2DA3" w14:textId="77777777"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589F2" w14:textId="77777777" w:rsidR="003F605E" w:rsidRPr="00FE4400" w:rsidRDefault="003F605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A10E8" w14:textId="399414F3"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D4092D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D4092D">
        <w:rPr>
          <w:rFonts w:ascii="Times New Roman" w:hAnsi="Times New Roman" w:cs="Times New Roman"/>
          <w:sz w:val="28"/>
          <w:szCs w:val="28"/>
        </w:rPr>
        <w:t>5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4092D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5C78833" w14:textId="7777777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0BFED" w14:textId="75AFAA60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FD16FF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D4092D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D4092D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4092D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14:paraId="478FD82A" w14:textId="0248E2D6"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4427F1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14:paraId="7464A0C4" w14:textId="0F9FC981"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4427F1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4427F1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14:paraId="5378736B" w14:textId="77777777" w:rsidR="002E07D2" w:rsidRDefault="00467D1E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14:paraId="4EF09F38" w14:textId="77777777" w:rsidR="0053381D" w:rsidRDefault="0053381D" w:rsidP="002E07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0190EE6" w14:textId="33850BD3"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4427F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4427F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4427F1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C5D4214" w14:textId="7777777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CDFC6" w14:textId="7777777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14:paraId="68E15C42" w14:textId="3758483C"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C23261">
        <w:rPr>
          <w:rFonts w:ascii="Times New Roman" w:hAnsi="Times New Roman" w:cs="Times New Roman"/>
          <w:sz w:val="28"/>
          <w:szCs w:val="28"/>
        </w:rPr>
        <w:t>4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D0CA1">
        <w:rPr>
          <w:rFonts w:ascii="Times New Roman" w:hAnsi="Times New Roman" w:cs="Times New Roman"/>
          <w:sz w:val="28"/>
          <w:szCs w:val="28"/>
        </w:rPr>
        <w:t>57925,7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9D4C10" w14:textId="74F6C441"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C23261">
        <w:rPr>
          <w:rFonts w:ascii="Times New Roman" w:hAnsi="Times New Roman" w:cs="Times New Roman"/>
          <w:sz w:val="28"/>
          <w:szCs w:val="28"/>
        </w:rPr>
        <w:t>5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0CA1">
        <w:rPr>
          <w:rFonts w:ascii="Times New Roman" w:hAnsi="Times New Roman" w:cs="Times New Roman"/>
          <w:sz w:val="28"/>
          <w:szCs w:val="28"/>
        </w:rPr>
        <w:t xml:space="preserve">49458,0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C23261">
        <w:rPr>
          <w:rFonts w:ascii="Times New Roman" w:hAnsi="Times New Roman" w:cs="Times New Roman"/>
          <w:sz w:val="28"/>
          <w:szCs w:val="28"/>
        </w:rPr>
        <w:t>6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D0CA1">
        <w:rPr>
          <w:rFonts w:ascii="Times New Roman" w:hAnsi="Times New Roman" w:cs="Times New Roman"/>
          <w:sz w:val="28"/>
          <w:szCs w:val="28"/>
        </w:rPr>
        <w:t xml:space="preserve">48627,5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57BB8F6" w14:textId="7777777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14:paraId="66738337" w14:textId="135B0BD1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CD0CA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14:paraId="787DCA9D" w14:textId="6FFDFB0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CD0CA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CD0CA1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14:paraId="0CD2EFFC" w14:textId="3CD8393D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CD0CA1">
        <w:rPr>
          <w:rFonts w:ascii="Times New Roman" w:hAnsi="Times New Roman" w:cs="Times New Roman"/>
          <w:sz w:val="28"/>
          <w:szCs w:val="28"/>
        </w:rPr>
        <w:t>4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CD0CA1">
        <w:rPr>
          <w:rFonts w:ascii="Times New Roman" w:hAnsi="Times New Roman" w:cs="Times New Roman"/>
          <w:sz w:val="28"/>
          <w:szCs w:val="28"/>
        </w:rPr>
        <w:t>5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CD0CA1">
        <w:rPr>
          <w:rFonts w:ascii="Times New Roman" w:hAnsi="Times New Roman" w:cs="Times New Roman"/>
          <w:sz w:val="28"/>
          <w:szCs w:val="28"/>
        </w:rPr>
        <w:t>6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14:paraId="134D4F45" w14:textId="7777777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14:paraId="17E6D0CD" w14:textId="21B8FA8F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944894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14:paraId="0CE50DEF" w14:textId="3739C1E4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944894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44894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14:paraId="4A544BE9" w14:textId="08521AEB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по целевым статьям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A80FC9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</w:p>
    <w:p w14:paraId="1EF10B6E" w14:textId="6B19BFF6"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977716">
        <w:rPr>
          <w:rFonts w:ascii="Times New Roman" w:hAnsi="Times New Roman" w:cs="Times New Roman"/>
          <w:sz w:val="28"/>
          <w:szCs w:val="28"/>
        </w:rPr>
        <w:t>4</w:t>
      </w:r>
      <w:r w:rsidR="00D7549C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FE4400">
        <w:rPr>
          <w:rFonts w:ascii="Times New Roman" w:hAnsi="Times New Roman" w:cs="Times New Roman"/>
          <w:sz w:val="28"/>
          <w:szCs w:val="28"/>
        </w:rPr>
        <w:t>году и на плановый перио</w:t>
      </w:r>
      <w:r w:rsidR="00D7549C">
        <w:rPr>
          <w:rFonts w:ascii="Times New Roman" w:hAnsi="Times New Roman" w:cs="Times New Roman"/>
          <w:sz w:val="28"/>
          <w:szCs w:val="28"/>
        </w:rPr>
        <w:t>ды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977716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77716">
        <w:rPr>
          <w:rFonts w:ascii="Times New Roman" w:hAnsi="Times New Roman" w:cs="Times New Roman"/>
          <w:sz w:val="28"/>
          <w:szCs w:val="28"/>
        </w:rPr>
        <w:t xml:space="preserve">6 </w:t>
      </w:r>
      <w:r w:rsidR="003F3C5B"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14:paraId="20503003" w14:textId="77777777"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14:paraId="3F4EADA5" w14:textId="589C2A9D"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A47504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 Республики Тыва</w:t>
      </w:r>
    </w:p>
    <w:p w14:paraId="48686284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8380B" w14:textId="79DE1A19"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14:paraId="55AAF2E2" w14:textId="7A1BBAD9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14:paraId="1A34AFBB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6546D" w14:textId="2E006A9A"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A47504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F21BBFB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552B2" w14:textId="6106716E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A47504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44B22738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75DCC" w14:textId="77777777"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14:paraId="26F61568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FF665" w14:textId="54CF3C34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A47504">
        <w:rPr>
          <w:rFonts w:ascii="Times New Roman" w:hAnsi="Times New Roman" w:cs="Times New Roman"/>
          <w:sz w:val="28"/>
          <w:szCs w:val="28"/>
        </w:rPr>
        <w:t>4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A47504">
        <w:rPr>
          <w:rFonts w:ascii="Times New Roman" w:hAnsi="Times New Roman" w:cs="Times New Roman"/>
          <w:sz w:val="28"/>
          <w:szCs w:val="28"/>
        </w:rPr>
        <w:t xml:space="preserve">5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A47504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работ, оказанием услуг впорядке,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18BC6E34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14:paraId="0FDC7319" w14:textId="77777777"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82E06" w14:textId="77777777"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A4889" w14:textId="6BDED18B"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6A4B06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14:paraId="79CD9DFC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2D42A" w14:textId="7DA0BCDF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4947E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4947E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4947E1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ED1FB1">
        <w:rPr>
          <w:rFonts w:ascii="Times New Roman" w:hAnsi="Times New Roman" w:cs="Times New Roman"/>
          <w:color w:val="FF0000"/>
          <w:sz w:val="28"/>
          <w:szCs w:val="28"/>
        </w:rPr>
        <w:t xml:space="preserve">11791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14:paraId="190246C5" w14:textId="33B7E7C9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2. 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6A4B06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6A4B06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6A4B06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</w:p>
    <w:p w14:paraId="0761C28B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14:paraId="4C711334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14:paraId="28FAA163" w14:textId="77777777"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случае,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14:paraId="320E113B" w14:textId="77777777"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6. 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бюджет.</w:t>
      </w:r>
    </w:p>
    <w:p w14:paraId="60B7DC19" w14:textId="7B3C7EF9"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088398DB" w14:textId="6372F050"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9E0F88">
        <w:rPr>
          <w:rFonts w:ascii="Times New Roman" w:hAnsi="Times New Roman" w:cs="Times New Roman"/>
          <w:sz w:val="28"/>
          <w:szCs w:val="28"/>
        </w:rPr>
        <w:t>4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14:paraId="3B8BC102" w14:textId="77777777"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82D15" w14:textId="2FB7C0E1"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3E46A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3E46AB">
        <w:rPr>
          <w:rFonts w:ascii="Times New Roman" w:hAnsi="Times New Roman" w:cs="Times New Roman"/>
          <w:sz w:val="28"/>
          <w:szCs w:val="28"/>
        </w:rPr>
        <w:t>5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3E46AB">
        <w:rPr>
          <w:rFonts w:ascii="Times New Roman" w:hAnsi="Times New Roman" w:cs="Times New Roman"/>
          <w:sz w:val="28"/>
          <w:szCs w:val="28"/>
        </w:rPr>
        <w:t>6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C668A25" w14:textId="77777777"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E8FAD" w14:textId="412593E3"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3E46A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3E46AB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3E46AB">
        <w:rPr>
          <w:rFonts w:ascii="Times New Roman" w:hAnsi="Times New Roman" w:cs="Times New Roman"/>
          <w:sz w:val="28"/>
          <w:szCs w:val="28"/>
        </w:rPr>
        <w:t>6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разрывов, возникающих при исполнении местных бюджетов, - на срок, не выходящий </w:t>
      </w:r>
      <w:r w:rsidRPr="00112039">
        <w:rPr>
          <w:rFonts w:ascii="Times New Roman" w:hAnsi="Times New Roman" w:cs="Times New Roman"/>
          <w:sz w:val="28"/>
          <w:szCs w:val="28"/>
        </w:rPr>
        <w:lastRenderedPageBreak/>
        <w:t>за пределы текущего финансового года, и частичного покрытия дефицитов местных бюджетов - на срок до 3 лет.</w:t>
      </w:r>
    </w:p>
    <w:p w14:paraId="536A9858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14:paraId="3B634029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14:paraId="69A136B7" w14:textId="7F0F6A8B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68BCF1CE" w14:textId="59A737AA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14:paraId="3395582F" w14:textId="0D774505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14:paraId="0364CF94" w14:textId="339F814C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14:paraId="4D7C25B3" w14:textId="5130F89B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46AB">
        <w:rPr>
          <w:rFonts w:ascii="Times New Roman" w:hAnsi="Times New Roman" w:cs="Times New Roman"/>
          <w:sz w:val="28"/>
          <w:szCs w:val="28"/>
        </w:rPr>
        <w:t xml:space="preserve">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 Ак-Довурак</w:t>
      </w:r>
      <w:r w:rsidR="003E46A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2EBF2210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A9813" w14:textId="7247874C"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0044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14:paraId="60F9100E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9CC5E" w14:textId="48A0A5D8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lastRenderedPageBreak/>
        <w:t>городского округа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0044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0044B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044BB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0044BB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14:paraId="1D51FF7A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14:paraId="6DC2B02D" w14:textId="6716FBFB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0044B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0044BB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0044BB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0EDABC7" w14:textId="2A102538"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0044BB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434189">
        <w:rPr>
          <w:rFonts w:ascii="Times New Roman" w:hAnsi="Times New Roman" w:cs="Times New Roman"/>
          <w:sz w:val="28"/>
          <w:szCs w:val="28"/>
        </w:rPr>
        <w:t xml:space="preserve">30740,5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0044BB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434189">
        <w:rPr>
          <w:rFonts w:ascii="Times New Roman" w:hAnsi="Times New Roman" w:cs="Times New Roman"/>
          <w:sz w:val="28"/>
          <w:szCs w:val="28"/>
        </w:rPr>
        <w:t xml:space="preserve">32557,0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0044BB">
        <w:rPr>
          <w:rFonts w:ascii="Times New Roman" w:hAnsi="Times New Roman" w:cs="Times New Roman"/>
          <w:sz w:val="28"/>
          <w:szCs w:val="28"/>
        </w:rPr>
        <w:t>6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434189">
        <w:rPr>
          <w:rFonts w:ascii="Times New Roman" w:hAnsi="Times New Roman" w:cs="Times New Roman"/>
          <w:sz w:val="28"/>
          <w:szCs w:val="28"/>
        </w:rPr>
        <w:t>37765,0</w:t>
      </w:r>
      <w:r w:rsidR="007B5271" w:rsidRPr="007B5271">
        <w:rPr>
          <w:rFonts w:ascii="Times New Roman" w:hAnsi="Times New Roman" w:cs="Times New Roman"/>
          <w:sz w:val="28"/>
          <w:szCs w:val="28"/>
        </w:rPr>
        <w:t xml:space="preserve">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8E3CDD5" w14:textId="4559431F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14:paraId="765C245D" w14:textId="5DECAAF9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9467A7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7EC08A2" w14:textId="3DB2C7D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9467A7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5140AA4" w14:textId="133717E4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9467A7">
        <w:rPr>
          <w:rFonts w:ascii="Times New Roman" w:hAnsi="Times New Roman" w:cs="Times New Roman"/>
          <w:sz w:val="28"/>
          <w:szCs w:val="28"/>
        </w:rPr>
        <w:t xml:space="preserve">6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E8FC9D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FCE02" w14:textId="63B6DFDC"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953F10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14:paraId="21FED455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47DCC" w14:textId="0A23A02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953F10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953F10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953F10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953F1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14:paraId="3AFAD3F0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171A8" w14:textId="39E10851"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</w:t>
      </w:r>
      <w:r w:rsidR="00953F10">
        <w:rPr>
          <w:rFonts w:ascii="Times New Roman" w:hAnsi="Times New Roman" w:cs="Times New Roman"/>
          <w:sz w:val="28"/>
          <w:szCs w:val="28"/>
        </w:rPr>
        <w:t>а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3922136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0CCAA" w14:textId="6429106D" w:rsidR="00595B3D" w:rsidRPr="00C46974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5484F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B5484F">
        <w:rPr>
          <w:rFonts w:ascii="Times New Roman" w:hAnsi="Times New Roman" w:cs="Times New Roman"/>
          <w:sz w:val="28"/>
          <w:szCs w:val="28"/>
        </w:rPr>
        <w:t>4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B5484F">
        <w:rPr>
          <w:rFonts w:ascii="Times New Roman" w:hAnsi="Times New Roman" w:cs="Times New Roman"/>
          <w:sz w:val="28"/>
          <w:szCs w:val="28"/>
        </w:rPr>
        <w:t>5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5484F">
        <w:rPr>
          <w:rFonts w:ascii="Times New Roman" w:hAnsi="Times New Roman" w:cs="Times New Roman"/>
          <w:sz w:val="28"/>
          <w:szCs w:val="28"/>
        </w:rPr>
        <w:t>6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7886A80" w14:textId="77777777" w:rsidR="00FB550A" w:rsidRPr="00C46974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A9B0C" w14:textId="77777777"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B0096" w14:textId="1F222362"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="005928F4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9E2638C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1984C" w14:textId="324A1F3A"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lastRenderedPageBreak/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8319B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19BF">
        <w:rPr>
          <w:rFonts w:ascii="Times New Roman" w:hAnsi="Times New Roman" w:cs="Times New Roman"/>
          <w:sz w:val="28"/>
          <w:szCs w:val="28"/>
        </w:rPr>
        <w:t>1990,0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8319B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19BF">
        <w:rPr>
          <w:rFonts w:ascii="Times New Roman" w:hAnsi="Times New Roman" w:cs="Times New Roman"/>
          <w:sz w:val="28"/>
          <w:szCs w:val="28"/>
        </w:rPr>
        <w:t>2010,0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319BF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19BF">
        <w:rPr>
          <w:rFonts w:ascii="Times New Roman" w:hAnsi="Times New Roman" w:cs="Times New Roman"/>
          <w:sz w:val="28"/>
          <w:szCs w:val="28"/>
        </w:rPr>
        <w:t>2026,0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70C7C6B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DE26B" w14:textId="5D9DEAF2"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0D7F00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B42300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F81DB" w14:textId="446B8D82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0D7F00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D1573A5" w14:textId="77777777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14:paraId="2B02468D" w14:textId="68724EB3"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A44F6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A44F6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44F6A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14:paraId="11595F40" w14:textId="41A3D2BE"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A44F6A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14:paraId="2CA7CD6D" w14:textId="77777777" w:rsidR="00C24828" w:rsidRDefault="00575A38" w:rsidP="00C2482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C24828">
        <w:rPr>
          <w:sz w:val="28"/>
        </w:rPr>
        <w:t>Казначейское сопровождение осуществляется в отношении:</w:t>
      </w:r>
    </w:p>
    <w:p w14:paraId="66CB299B" w14:textId="77777777" w:rsidR="00D11D3C" w:rsidRDefault="00D11D3C" w:rsidP="00D11D3C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D11D3C">
        <w:rPr>
          <w:rFonts w:eastAsiaTheme="minorHAnsi"/>
          <w:sz w:val="28"/>
          <w:szCs w:val="22"/>
          <w:lang w:eastAsia="en-US"/>
        </w:rPr>
        <w:t>1) расчетов по муниципальным контрактам о поставке товаров, выполнении работ, оказании услуг, заключаемым на сумму более 3 млн. рублей;</w:t>
      </w:r>
    </w:p>
    <w:p w14:paraId="2F23BE5A" w14:textId="694A69D6" w:rsidR="00C24828" w:rsidRPr="00D11D3C" w:rsidRDefault="00D11D3C" w:rsidP="00D11D3C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D11D3C">
        <w:rPr>
          <w:rFonts w:eastAsiaTheme="minorHAnsi"/>
          <w:sz w:val="28"/>
          <w:szCs w:val="22"/>
          <w:lang w:eastAsia="en-US"/>
        </w:rPr>
        <w:t>2) 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</w:t>
      </w:r>
      <w:r w:rsidR="00C24828">
        <w:rPr>
          <w:sz w:val="28"/>
        </w:rPr>
        <w:t>:</w:t>
      </w:r>
    </w:p>
    <w:p w14:paraId="094A4F6D" w14:textId="77777777" w:rsidR="00C24828" w:rsidRDefault="00C24828" w:rsidP="00C24828">
      <w:pPr>
        <w:jc w:val="both"/>
        <w:rPr>
          <w:sz w:val="28"/>
        </w:rPr>
      </w:pPr>
      <w:r>
        <w:rPr>
          <w:sz w:val="28"/>
        </w:rPr>
        <w:t xml:space="preserve">- субсидии </w:t>
      </w:r>
      <w:r w:rsidRPr="006A35DE">
        <w:rPr>
          <w:sz w:val="28"/>
        </w:rPr>
        <w:t>на реализацию программ формирования современной городской среды</w:t>
      </w:r>
      <w:r>
        <w:rPr>
          <w:sz w:val="28"/>
        </w:rPr>
        <w:t>;</w:t>
      </w:r>
    </w:p>
    <w:p w14:paraId="02D5BC14" w14:textId="77777777" w:rsidR="00C24828" w:rsidRDefault="00C24828" w:rsidP="00C24828">
      <w:pPr>
        <w:jc w:val="both"/>
        <w:rPr>
          <w:sz w:val="28"/>
        </w:rPr>
      </w:pPr>
      <w:r>
        <w:rPr>
          <w:sz w:val="28"/>
        </w:rPr>
        <w:t>- субсидии на реконструкцию и строительство локальных систем водоснабжения;</w:t>
      </w:r>
    </w:p>
    <w:p w14:paraId="5C9CF693" w14:textId="77777777" w:rsidR="00D57C86" w:rsidRPr="00C24828" w:rsidRDefault="00C24828" w:rsidP="00C24828">
      <w:pPr>
        <w:jc w:val="both"/>
        <w:rPr>
          <w:sz w:val="28"/>
        </w:rPr>
      </w:pPr>
      <w:r>
        <w:rPr>
          <w:sz w:val="28"/>
        </w:rPr>
        <w:t>- субсидии на обеспечение комплексного развития сельских территорий (строительство жилья, б</w:t>
      </w:r>
      <w:r w:rsidRPr="006A35DE">
        <w:rPr>
          <w:sz w:val="28"/>
        </w:rPr>
        <w:t>лагоустройств</w:t>
      </w:r>
      <w:r>
        <w:rPr>
          <w:sz w:val="28"/>
        </w:rPr>
        <w:t>о).</w:t>
      </w:r>
    </w:p>
    <w:p w14:paraId="0CAC3ECC" w14:textId="27CE9B5E"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A112D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14:paraId="46F1D6F9" w14:textId="77777777"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14:paraId="46D0F782" w14:textId="77777777"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14:paraId="59B40307" w14:textId="77777777"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14:paraId="69E50459" w14:textId="77777777"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14:paraId="11E4BE40" w14:textId="77777777"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14:paraId="0F6350A7" w14:textId="77777777"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необходимости уточнения кодов классификации видов расходов бюджета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14:paraId="7019E15E" w14:textId="77777777"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проекта.</w:t>
      </w:r>
    </w:p>
    <w:p w14:paraId="2BE7D706" w14:textId="77777777"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0CF07" w14:textId="77777777"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383352F" w14:textId="77777777"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14:paraId="5B9C0671" w14:textId="77777777"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00A00" w14:textId="61FE4638" w:rsidR="004C1782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4A112D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D8B060" w14:textId="7DF35180" w:rsidR="004A112D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A9ACD" w14:textId="32619BB1" w:rsidR="004A112D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E9A75" w14:textId="10986D72" w:rsidR="004A112D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B7A51" w14:textId="47804F57" w:rsidR="004A112D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0953F" w14:textId="1A1A6728" w:rsidR="004A112D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43823" w14:textId="111A3896" w:rsidR="004A112D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989DE" w14:textId="77777777" w:rsidR="004A112D" w:rsidRPr="00B1698C" w:rsidRDefault="004A112D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C5985" w14:textId="77777777"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33402" w14:textId="77777777"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14:paraId="006F11C3" w14:textId="2DE5BFDD"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40092202" w14:textId="77777777"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14:paraId="396A7B19" w14:textId="77777777"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14:paraId="45014141" w14:textId="0B93530D"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</w:t>
      </w:r>
      <w:r w:rsidR="004A112D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4A112D">
        <w:rPr>
          <w:sz w:val="28"/>
          <w:szCs w:val="28"/>
        </w:rPr>
        <w:t>В.В.Еромаев</w:t>
      </w:r>
      <w:proofErr w:type="spellEnd"/>
      <w:r>
        <w:rPr>
          <w:sz w:val="28"/>
          <w:szCs w:val="28"/>
        </w:rPr>
        <w:t xml:space="preserve"> </w:t>
      </w:r>
    </w:p>
    <w:p w14:paraId="5C3125EA" w14:textId="77777777"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E78"/>
    <w:rsid w:val="000044BB"/>
    <w:rsid w:val="0001124A"/>
    <w:rsid w:val="000211AF"/>
    <w:rsid w:val="000249BA"/>
    <w:rsid w:val="00047C27"/>
    <w:rsid w:val="00054707"/>
    <w:rsid w:val="00075A39"/>
    <w:rsid w:val="000A57F3"/>
    <w:rsid w:val="000C06AA"/>
    <w:rsid w:val="000D7F00"/>
    <w:rsid w:val="000E0BDC"/>
    <w:rsid w:val="000F7B99"/>
    <w:rsid w:val="0010595C"/>
    <w:rsid w:val="00105E78"/>
    <w:rsid w:val="001100BE"/>
    <w:rsid w:val="00112039"/>
    <w:rsid w:val="00114EF0"/>
    <w:rsid w:val="001262D1"/>
    <w:rsid w:val="00132163"/>
    <w:rsid w:val="001528CF"/>
    <w:rsid w:val="001546FD"/>
    <w:rsid w:val="00157024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E59C1"/>
    <w:rsid w:val="001F31E1"/>
    <w:rsid w:val="002037B0"/>
    <w:rsid w:val="002037F5"/>
    <w:rsid w:val="002041F6"/>
    <w:rsid w:val="0022498B"/>
    <w:rsid w:val="00231E13"/>
    <w:rsid w:val="00236BB6"/>
    <w:rsid w:val="002453E2"/>
    <w:rsid w:val="002469E8"/>
    <w:rsid w:val="00256F6F"/>
    <w:rsid w:val="002A6CEE"/>
    <w:rsid w:val="002A75E7"/>
    <w:rsid w:val="002B4A1B"/>
    <w:rsid w:val="002C198C"/>
    <w:rsid w:val="002E07D2"/>
    <w:rsid w:val="002E0D7A"/>
    <w:rsid w:val="002E3009"/>
    <w:rsid w:val="002F0183"/>
    <w:rsid w:val="002F27F1"/>
    <w:rsid w:val="002F2EA1"/>
    <w:rsid w:val="003025F2"/>
    <w:rsid w:val="003058B2"/>
    <w:rsid w:val="00310946"/>
    <w:rsid w:val="00321F39"/>
    <w:rsid w:val="0032415F"/>
    <w:rsid w:val="003345FC"/>
    <w:rsid w:val="00336D33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46AB"/>
    <w:rsid w:val="003E5EB1"/>
    <w:rsid w:val="003F3C5B"/>
    <w:rsid w:val="003F605E"/>
    <w:rsid w:val="003F7446"/>
    <w:rsid w:val="00434189"/>
    <w:rsid w:val="004346FE"/>
    <w:rsid w:val="004369B4"/>
    <w:rsid w:val="00442400"/>
    <w:rsid w:val="004427F1"/>
    <w:rsid w:val="00460C01"/>
    <w:rsid w:val="00462855"/>
    <w:rsid w:val="00463EBB"/>
    <w:rsid w:val="00467D1E"/>
    <w:rsid w:val="0047194C"/>
    <w:rsid w:val="004924BC"/>
    <w:rsid w:val="004945DC"/>
    <w:rsid w:val="004947E1"/>
    <w:rsid w:val="004A112D"/>
    <w:rsid w:val="004A4D50"/>
    <w:rsid w:val="004C1782"/>
    <w:rsid w:val="004D2C4B"/>
    <w:rsid w:val="004F6E25"/>
    <w:rsid w:val="00500CA7"/>
    <w:rsid w:val="00502B45"/>
    <w:rsid w:val="005254F8"/>
    <w:rsid w:val="00526975"/>
    <w:rsid w:val="00531CD0"/>
    <w:rsid w:val="0053381D"/>
    <w:rsid w:val="00556860"/>
    <w:rsid w:val="0056491F"/>
    <w:rsid w:val="00575A38"/>
    <w:rsid w:val="005829BC"/>
    <w:rsid w:val="00590B58"/>
    <w:rsid w:val="005928F4"/>
    <w:rsid w:val="00595B3D"/>
    <w:rsid w:val="005B4FE4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67DC2"/>
    <w:rsid w:val="006864AE"/>
    <w:rsid w:val="006A4B06"/>
    <w:rsid w:val="006A527E"/>
    <w:rsid w:val="006B75E1"/>
    <w:rsid w:val="006E70CC"/>
    <w:rsid w:val="006F008C"/>
    <w:rsid w:val="00703E42"/>
    <w:rsid w:val="0071620F"/>
    <w:rsid w:val="00716C87"/>
    <w:rsid w:val="007318FE"/>
    <w:rsid w:val="007445A5"/>
    <w:rsid w:val="007642FD"/>
    <w:rsid w:val="00782325"/>
    <w:rsid w:val="00791CEF"/>
    <w:rsid w:val="007A0CFB"/>
    <w:rsid w:val="007A3848"/>
    <w:rsid w:val="007B1D26"/>
    <w:rsid w:val="007B5271"/>
    <w:rsid w:val="007E140F"/>
    <w:rsid w:val="007E306F"/>
    <w:rsid w:val="007F36EF"/>
    <w:rsid w:val="008022BA"/>
    <w:rsid w:val="00813E3D"/>
    <w:rsid w:val="00820EFB"/>
    <w:rsid w:val="008221D0"/>
    <w:rsid w:val="008319BF"/>
    <w:rsid w:val="00831C63"/>
    <w:rsid w:val="00831DE6"/>
    <w:rsid w:val="008479AD"/>
    <w:rsid w:val="0085298C"/>
    <w:rsid w:val="0085562C"/>
    <w:rsid w:val="0086187D"/>
    <w:rsid w:val="00862505"/>
    <w:rsid w:val="00863E49"/>
    <w:rsid w:val="00866F69"/>
    <w:rsid w:val="008671A7"/>
    <w:rsid w:val="0087211F"/>
    <w:rsid w:val="008834FA"/>
    <w:rsid w:val="00892816"/>
    <w:rsid w:val="008A4562"/>
    <w:rsid w:val="008B0636"/>
    <w:rsid w:val="008E31F1"/>
    <w:rsid w:val="008F08F7"/>
    <w:rsid w:val="008F7BD2"/>
    <w:rsid w:val="00904D3F"/>
    <w:rsid w:val="00910C3E"/>
    <w:rsid w:val="00911F14"/>
    <w:rsid w:val="0091325E"/>
    <w:rsid w:val="0091772C"/>
    <w:rsid w:val="00926FBC"/>
    <w:rsid w:val="00944894"/>
    <w:rsid w:val="009467A7"/>
    <w:rsid w:val="00953F10"/>
    <w:rsid w:val="009610C8"/>
    <w:rsid w:val="00961895"/>
    <w:rsid w:val="00977716"/>
    <w:rsid w:val="0099587F"/>
    <w:rsid w:val="00996A3E"/>
    <w:rsid w:val="009A0B00"/>
    <w:rsid w:val="009A260C"/>
    <w:rsid w:val="009A4E77"/>
    <w:rsid w:val="009B0E0C"/>
    <w:rsid w:val="009C01D1"/>
    <w:rsid w:val="009E0F88"/>
    <w:rsid w:val="009E1DD2"/>
    <w:rsid w:val="009E65D9"/>
    <w:rsid w:val="00A04522"/>
    <w:rsid w:val="00A076B4"/>
    <w:rsid w:val="00A10BB6"/>
    <w:rsid w:val="00A1469D"/>
    <w:rsid w:val="00A17E3C"/>
    <w:rsid w:val="00A350B2"/>
    <w:rsid w:val="00A44F6A"/>
    <w:rsid w:val="00A47504"/>
    <w:rsid w:val="00A80FC9"/>
    <w:rsid w:val="00A81CA7"/>
    <w:rsid w:val="00A821A1"/>
    <w:rsid w:val="00A8497A"/>
    <w:rsid w:val="00AA7079"/>
    <w:rsid w:val="00AD5CA7"/>
    <w:rsid w:val="00AD7250"/>
    <w:rsid w:val="00AE2AD7"/>
    <w:rsid w:val="00B0432B"/>
    <w:rsid w:val="00B04D3D"/>
    <w:rsid w:val="00B12F49"/>
    <w:rsid w:val="00B1698C"/>
    <w:rsid w:val="00B359BB"/>
    <w:rsid w:val="00B43EFF"/>
    <w:rsid w:val="00B5484F"/>
    <w:rsid w:val="00B63CA1"/>
    <w:rsid w:val="00B81F70"/>
    <w:rsid w:val="00B877CF"/>
    <w:rsid w:val="00B942F2"/>
    <w:rsid w:val="00BA0AD3"/>
    <w:rsid w:val="00BC3A6F"/>
    <w:rsid w:val="00C01323"/>
    <w:rsid w:val="00C046B0"/>
    <w:rsid w:val="00C14E94"/>
    <w:rsid w:val="00C1624C"/>
    <w:rsid w:val="00C23261"/>
    <w:rsid w:val="00C24828"/>
    <w:rsid w:val="00C323CF"/>
    <w:rsid w:val="00C3278F"/>
    <w:rsid w:val="00C45FCF"/>
    <w:rsid w:val="00C46974"/>
    <w:rsid w:val="00C63398"/>
    <w:rsid w:val="00C667BE"/>
    <w:rsid w:val="00C93080"/>
    <w:rsid w:val="00C94FFE"/>
    <w:rsid w:val="00CD0CA1"/>
    <w:rsid w:val="00CF2663"/>
    <w:rsid w:val="00CF37C8"/>
    <w:rsid w:val="00CF72C2"/>
    <w:rsid w:val="00D0138E"/>
    <w:rsid w:val="00D04149"/>
    <w:rsid w:val="00D117A1"/>
    <w:rsid w:val="00D11D3C"/>
    <w:rsid w:val="00D1211A"/>
    <w:rsid w:val="00D22CFD"/>
    <w:rsid w:val="00D26AC6"/>
    <w:rsid w:val="00D4092D"/>
    <w:rsid w:val="00D53FB8"/>
    <w:rsid w:val="00D57C86"/>
    <w:rsid w:val="00D74DBB"/>
    <w:rsid w:val="00D7549C"/>
    <w:rsid w:val="00D9320E"/>
    <w:rsid w:val="00DA66AF"/>
    <w:rsid w:val="00DB503C"/>
    <w:rsid w:val="00DB7199"/>
    <w:rsid w:val="00DC212F"/>
    <w:rsid w:val="00DD06B3"/>
    <w:rsid w:val="00DF282D"/>
    <w:rsid w:val="00E05D35"/>
    <w:rsid w:val="00E11871"/>
    <w:rsid w:val="00E131D7"/>
    <w:rsid w:val="00E15771"/>
    <w:rsid w:val="00E35EBA"/>
    <w:rsid w:val="00E61212"/>
    <w:rsid w:val="00E657F8"/>
    <w:rsid w:val="00E773D3"/>
    <w:rsid w:val="00E8156C"/>
    <w:rsid w:val="00E97BD8"/>
    <w:rsid w:val="00EA115A"/>
    <w:rsid w:val="00EB0693"/>
    <w:rsid w:val="00EB1697"/>
    <w:rsid w:val="00EB31A1"/>
    <w:rsid w:val="00EC6A09"/>
    <w:rsid w:val="00ED1FB1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514A"/>
    <w:rsid w:val="00F6798A"/>
    <w:rsid w:val="00F81281"/>
    <w:rsid w:val="00F86C48"/>
    <w:rsid w:val="00F94407"/>
    <w:rsid w:val="00FB550A"/>
    <w:rsid w:val="00FD16FF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83BD8"/>
  <w15:docId w15:val="{7404E7BA-1C42-4B07-9F0F-B7D6FBE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Заголовок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9F3-50A2-4ED8-AB6A-62097FC0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192</cp:revision>
  <cp:lastPrinted>2023-11-10T05:21:00Z</cp:lastPrinted>
  <dcterms:created xsi:type="dcterms:W3CDTF">2018-11-12T08:03:00Z</dcterms:created>
  <dcterms:modified xsi:type="dcterms:W3CDTF">2023-11-13T03:03:00Z</dcterms:modified>
</cp:coreProperties>
</file>