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2CF" w:rsidRPr="006B73CB" w:rsidRDefault="00F242CF" w:rsidP="00F242CF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B73CB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F242CF" w:rsidRPr="006B73CB" w:rsidRDefault="00F242CF" w:rsidP="00F242CF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постановлению администрации г. Ак-Довурак Республики Тыва</w:t>
      </w:r>
    </w:p>
    <w:p w:rsidR="00F242CF" w:rsidRPr="006B73CB" w:rsidRDefault="00F242CF" w:rsidP="00F242CF">
      <w:pPr>
        <w:tabs>
          <w:tab w:val="left" w:pos="5103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42CF" w:rsidRPr="006B73CB" w:rsidRDefault="00F242CF" w:rsidP="00F242CF">
      <w:pPr>
        <w:tabs>
          <w:tab w:val="left" w:pos="5103"/>
        </w:tabs>
        <w:spacing w:after="0" w:line="240" w:lineRule="auto"/>
        <w:ind w:left="5670"/>
        <w:rPr>
          <w:rFonts w:ascii="Times New Roman" w:eastAsia="Times New Roman" w:hAnsi="Times New Roman" w:cs="Times New Roman"/>
        </w:rPr>
      </w:pPr>
      <w:r w:rsidRPr="006B73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07»  мая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 2024 года</w:t>
      </w:r>
      <w:r w:rsidRPr="006B73C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116</w:t>
      </w:r>
    </w:p>
    <w:p w:rsidR="00F242CF" w:rsidRPr="006B73CB" w:rsidRDefault="00F242CF" w:rsidP="00F242C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2CF" w:rsidRPr="006B73CB" w:rsidRDefault="00F242CF" w:rsidP="00F242CF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2CF" w:rsidRPr="006B73CB" w:rsidRDefault="00F242CF" w:rsidP="00F242CF">
      <w:pPr>
        <w:keepNext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242CF" w:rsidRPr="006B73CB" w:rsidRDefault="00F242CF" w:rsidP="00F242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242CF" w:rsidRPr="006B73CB" w:rsidRDefault="00F242CF" w:rsidP="00F242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F242CF" w:rsidRPr="006B73CB" w:rsidRDefault="00F242CF" w:rsidP="00F242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АУКЦИОННАЯ </w:t>
      </w: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документация </w:t>
      </w:r>
    </w:p>
    <w:p w:rsidR="00F242CF" w:rsidRPr="006B73CB" w:rsidRDefault="00F242CF" w:rsidP="00F242CF">
      <w:pPr>
        <w:keepNext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по проведению </w:t>
      </w:r>
      <w:r w:rsidRPr="006B73C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В ЭЛЕКТРОННОЙ ФОРМЕ </w:t>
      </w:r>
    </w:p>
    <w:p w:rsidR="00F242CF" w:rsidRPr="006B73CB" w:rsidRDefault="00F242CF" w:rsidP="00F242CF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>ОТКРЫТого аукциона на право заключения договор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ов</w:t>
      </w:r>
    </w:p>
    <w:p w:rsidR="00F242CF" w:rsidRPr="006B73CB" w:rsidRDefault="00F242CF" w:rsidP="00F242C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B73CB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аренды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муниципального ИМУЩЕСТВА</w:t>
      </w: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Ак-Довурак, 2024 г.</w:t>
      </w: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p w:rsidR="00F242CF" w:rsidRDefault="00F242CF" w:rsidP="00F242CF">
      <w:pPr>
        <w:ind w:firstLine="708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56"/>
        <w:gridCol w:w="8589"/>
      </w:tblGrid>
      <w:tr w:rsidR="00F242CF" w:rsidRPr="00CD7596" w:rsidTr="007D32F8">
        <w:tc>
          <w:tcPr>
            <w:tcW w:w="9345" w:type="dxa"/>
            <w:gridSpan w:val="2"/>
          </w:tcPr>
          <w:p w:rsidR="00F242CF" w:rsidRPr="00CD7596" w:rsidRDefault="00F242CF" w:rsidP="007D3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СВЕДЕНИЯ: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89" w:type="dxa"/>
          </w:tcPr>
          <w:p w:rsidR="00F242CF" w:rsidRPr="00D72A1F" w:rsidRDefault="00F242CF" w:rsidP="007D32F8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>Форма торгов (наименование процедуры):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аукцион на</w:t>
            </w:r>
            <w:r w:rsidRPr="00D72A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право заключения 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в электронной форме. </w:t>
            </w:r>
          </w:p>
          <w:p w:rsidR="00F242CF" w:rsidRPr="00D72A1F" w:rsidRDefault="00F242CF" w:rsidP="007D32F8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A1F">
              <w:rPr>
                <w:rFonts w:ascii="Times New Roman" w:hAnsi="Times New Roman" w:cs="Times New Roman"/>
                <w:sz w:val="24"/>
                <w:szCs w:val="24"/>
              </w:rPr>
              <w:t>Аукцион является открытым по составу участников и форме подачи предложений.</w:t>
            </w:r>
          </w:p>
          <w:p w:rsidR="00F242CF" w:rsidRDefault="00F242CF" w:rsidP="007D32F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Аукцион проводится по правилам и в соответствии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ст. 17.1 Федерального закона от 26 июля 2006 г. № 135-ФЗ «О защите конкуренции», приказа Федеральной антимонопольной службы от 21 марта 2023 г. № 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Федерального закона от 6 апреля 2011 г. № 63-ФЗ «Об электронной подписи».</w:t>
            </w:r>
          </w:p>
          <w:p w:rsidR="00F242CF" w:rsidRPr="00CD7596" w:rsidRDefault="00F242CF" w:rsidP="007D32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D6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Официальный сайт торгов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сайт Российской Федерации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онно-телекоммуникационной сети «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D31D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www.torgi.gov.ru (далее - официальный сайт)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89" w:type="dxa"/>
          </w:tcPr>
          <w:p w:rsidR="00F242CF" w:rsidRPr="00CD7596" w:rsidRDefault="00F242CF" w:rsidP="007D32F8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Организатор аукциона: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г. Ак-Довурак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242CF" w:rsidRPr="00CD7596" w:rsidRDefault="00F242CF" w:rsidP="007D32F8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668050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Тыва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Ак-Довурак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д. 3а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2CF" w:rsidRPr="00CD7596" w:rsidRDefault="00F242CF" w:rsidP="007D32F8">
            <w:pPr>
              <w:pStyle w:val="ConsNormal"/>
              <w:keepNext/>
              <w:keepLines/>
              <w:ind w:right="0" w:firstLine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307">
              <w:t>адрес электронной почты (</w:t>
            </w:r>
            <w:r w:rsidRPr="00300307">
              <w:rPr>
                <w:lang w:val="en-US"/>
              </w:rPr>
              <w:t>E</w:t>
            </w:r>
            <w:r w:rsidRPr="003A191F">
              <w:rPr>
                <w:rFonts w:ascii="Times New Roman" w:hAnsi="Times New Roman" w:cs="Times New Roman"/>
              </w:rPr>
              <w:t>-</w:t>
            </w:r>
            <w:r w:rsidRPr="003A191F">
              <w:rPr>
                <w:rFonts w:ascii="Times New Roman" w:hAnsi="Times New Roman" w:cs="Times New Roman"/>
                <w:lang w:val="en-US"/>
              </w:rPr>
              <w:t>mail</w:t>
            </w:r>
            <w:r w:rsidRPr="003A191F">
              <w:rPr>
                <w:rFonts w:ascii="Times New Roman" w:hAnsi="Times New Roman" w:cs="Times New Roman"/>
              </w:rPr>
              <w:t>):</w:t>
            </w:r>
            <w:r w:rsidRPr="003A19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 xml:space="preserve"> </w:t>
            </w:r>
            <w:proofErr w:type="spellStart"/>
            <w:r w:rsidRPr="003A19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en-US"/>
              </w:rPr>
              <w:t>oizo</w:t>
            </w:r>
            <w:proofErr w:type="spellEnd"/>
            <w:r w:rsidRPr="003A19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.</w:t>
            </w:r>
            <w:proofErr w:type="spellStart"/>
            <w:r w:rsidRPr="003A19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en-US"/>
              </w:rPr>
              <w:t>adm</w:t>
            </w:r>
            <w:proofErr w:type="spellEnd"/>
            <w:r w:rsidRPr="003A19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@</w:t>
            </w:r>
            <w:r w:rsidRPr="003A19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en-US"/>
              </w:rPr>
              <w:t>mail</w:t>
            </w:r>
            <w:r w:rsidRPr="003A19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.</w:t>
            </w:r>
            <w:proofErr w:type="spellStart"/>
            <w:r w:rsidRPr="003A191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  <w:lang w:val="en-US"/>
              </w:rPr>
              <w:t>ru</w:t>
            </w:r>
            <w:proofErr w:type="spellEnd"/>
            <w:r w:rsidRPr="003A1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2CF" w:rsidRPr="00CD7596" w:rsidRDefault="00F242CF" w:rsidP="007D32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телефоны: </w:t>
            </w:r>
            <w:r w:rsidRPr="006302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8394) 33 2-11-17, (в рабочие дни с 08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обед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0).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9" w:type="dxa"/>
          </w:tcPr>
          <w:p w:rsidR="00F242CF" w:rsidRPr="00CD7596" w:rsidRDefault="00F242CF" w:rsidP="007D32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89" w:type="dxa"/>
          </w:tcPr>
          <w:p w:rsidR="00F242CF" w:rsidRPr="00CD7596" w:rsidRDefault="00F242CF" w:rsidP="007D32F8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Оператор электронной площадки: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АО «Агентство по государственному заказу Республики Татарстан» </w:t>
            </w:r>
          </w:p>
          <w:p w:rsidR="00F242CF" w:rsidRPr="00CD7596" w:rsidRDefault="00F242CF" w:rsidP="007D32F8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(почтовый адрес): 420021, Республика Татарстан, г. Казань, ул. Московская, 55; </w:t>
            </w:r>
          </w:p>
          <w:p w:rsidR="00F242CF" w:rsidRPr="00CD7596" w:rsidRDefault="00F242CF" w:rsidP="007D32F8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Конта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ктные телефоны: (843)292-95-17)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, служба технической поддержки - (843)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212-24-25.</w:t>
            </w:r>
          </w:p>
          <w:p w:rsidR="00F242CF" w:rsidRPr="00CD7596" w:rsidRDefault="00F242CF" w:rsidP="007D32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электронной площадки на которой будет проводиться аукцион в электронной форме: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утвержденная распоряжением Правительством Российской Федерации от 12 июля 2018 года № 1447-р - Электронная площадка АО «Агентство по государственному заказу Республики Татарстан» - </w:t>
            </w:r>
            <w:hyperlink r:id="rId4" w:history="1"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sale</w:t>
              </w:r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zakazrf</w:t>
              </w:r>
              <w:proofErr w:type="spellEnd"/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CD759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2CF" w:rsidRPr="00CD7596" w:rsidTr="007D32F8">
        <w:tc>
          <w:tcPr>
            <w:tcW w:w="9345" w:type="dxa"/>
            <w:gridSpan w:val="2"/>
          </w:tcPr>
          <w:p w:rsidR="00F242CF" w:rsidRPr="00CD7596" w:rsidRDefault="00F242CF" w:rsidP="007D32F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ИНФОРМАЦИЯ О ЛОТАХ:</w:t>
            </w:r>
          </w:p>
        </w:tc>
      </w:tr>
      <w:tr w:rsidR="00F242CF" w:rsidRPr="00CD7596" w:rsidTr="007D32F8">
        <w:tc>
          <w:tcPr>
            <w:tcW w:w="756" w:type="dxa"/>
            <w:tcBorders>
              <w:right w:val="single" w:sz="4" w:space="0" w:color="auto"/>
            </w:tcBorders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F" w:rsidRPr="0024139C" w:rsidRDefault="00F242CF" w:rsidP="007D32F8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Место расположения, описание и технические характеристики, площадь,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целевое назначение имущества,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права на которое передаются по договору. Срок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действия договора</w:t>
            </w:r>
            <w:r w:rsidRPr="00CD759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Начальная (минимальная) цена  договора (цена лота), в размере </w:t>
            </w:r>
            <w:r w:rsidRPr="00CD75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ежемесячной арендной платы</w:t>
            </w:r>
            <w:r w:rsidRPr="00CD75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242CF" w:rsidRPr="00CD7596" w:rsidTr="007D32F8">
        <w:tc>
          <w:tcPr>
            <w:tcW w:w="756" w:type="dxa"/>
            <w:vMerge w:val="restart"/>
            <w:tcBorders>
              <w:right w:val="single" w:sz="4" w:space="0" w:color="auto"/>
            </w:tcBorders>
          </w:tcPr>
          <w:p w:rsidR="00F242CF" w:rsidRPr="00CD7596" w:rsidRDefault="00F242CF" w:rsidP="00F242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F" w:rsidRPr="00EC0418" w:rsidRDefault="00F242CF" w:rsidP="00F242CF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№1: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proofErr w:type="gramEnd"/>
            <w:r w:rsidRPr="00276DE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на первом этаже многоквартирного жилого дома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Ак-Довурак ул. 50 лет ВЛКСМ д. 1, общей площадью 67,4 </w:t>
            </w:r>
            <w:proofErr w:type="spellStart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598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отопление, водоснабжение, электроснабжение, перегородки кирпичные, пол бетонный, кафель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2CF" w:rsidRPr="00EC0418" w:rsidRDefault="00F242CF" w:rsidP="00F242CF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действия договора – 5 лет.</w:t>
            </w:r>
          </w:p>
          <w:p w:rsidR="00F242CF" w:rsidRPr="00EC0418" w:rsidRDefault="00F242CF" w:rsidP="00F242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договора (цена лота) – рыночная стоимость ежемесячной арендной платы. руб. без НДС/без коммунальных услуг</w:t>
            </w:r>
            <w:r w:rsidRPr="00EC0418">
              <w:rPr>
                <w:b/>
                <w:sz w:val="24"/>
                <w:szCs w:val="24"/>
              </w:rPr>
              <w:t xml:space="preserve"> –                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29 858,</w:t>
            </w:r>
            <w:proofErr w:type="gramStart"/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 (</w:t>
            </w:r>
            <w:proofErr w:type="gramEnd"/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 девять тысячи восемьсот пятьдесят восемь) руб. 00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1492,</w:t>
            </w:r>
            <w:proofErr w:type="gramStart"/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90  (</w:t>
            </w:r>
            <w:proofErr w:type="gramEnd"/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 четыреста девяносто два) руб. 90  коп.</w:t>
            </w:r>
          </w:p>
          <w:p w:rsidR="00F242CF" w:rsidRPr="00EC0418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задатка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2985,8 (две тысяча девятьсот восемьдесят пять) руб. 80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418">
              <w:rPr>
                <w:rFonts w:ascii="Times New Roman" w:hAnsi="Times New Roman"/>
                <w:b/>
                <w:sz w:val="24"/>
                <w:szCs w:val="24"/>
              </w:rPr>
              <w:t>Целевое назначение</w:t>
            </w:r>
            <w:r w:rsidRPr="00EC04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имущества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: </w:t>
            </w:r>
            <w:r w:rsidRPr="00EC0418">
              <w:rPr>
                <w:rFonts w:ascii="Times New Roman" w:eastAsia="Times New Roman" w:hAnsi="Times New Roman"/>
                <w:sz w:val="24"/>
                <w:szCs w:val="24"/>
              </w:rPr>
              <w:t>торговый объект</w:t>
            </w:r>
          </w:p>
          <w:p w:rsidR="00F242CF" w:rsidRPr="00EC0418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</w:p>
          <w:p w:rsidR="00F242CF" w:rsidRPr="005C598E" w:rsidRDefault="00F242CF" w:rsidP="00F242CF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Лот №2: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proofErr w:type="gramEnd"/>
            <w:r w:rsidRPr="00276DE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на первом этаже многоквартирного жилого дома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адресу: г. Ак-Довурак ул. 50 лет ВЛКСМ д. 2, общей площадью 67,8 </w:t>
            </w:r>
            <w:proofErr w:type="spellStart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центральное отопление, водоснабжение, электроснабжение, перегородки кирпичные, пол бетонный, кафель</w:t>
            </w:r>
          </w:p>
          <w:p w:rsidR="00F242CF" w:rsidRPr="00EC0418" w:rsidRDefault="00F242CF" w:rsidP="00F242CF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действия договора – 5 лет.</w:t>
            </w:r>
          </w:p>
          <w:p w:rsidR="00F242CF" w:rsidRPr="00EC0418" w:rsidRDefault="00F242CF" w:rsidP="00F242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договора (цена лота) – рыночная стоимость ежемесячной арендной платы. руб. без НДС/без коммунальных услуг</w:t>
            </w:r>
            <w:r w:rsidRPr="00EC0418">
              <w:rPr>
                <w:b/>
                <w:sz w:val="24"/>
                <w:szCs w:val="24"/>
              </w:rPr>
              <w:t xml:space="preserve"> –                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24 001,</w:t>
            </w:r>
            <w:proofErr w:type="gramStart"/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2  (</w:t>
            </w:r>
            <w:proofErr w:type="gramEnd"/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двадцать четыре тысяч один) руб. 20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1200,</w:t>
            </w:r>
            <w:proofErr w:type="gramStart"/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 (</w:t>
            </w:r>
            <w:proofErr w:type="gramEnd"/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 двести) руб. 00  коп.</w:t>
            </w:r>
          </w:p>
          <w:p w:rsidR="00F242CF" w:rsidRPr="00EC0418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задатка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2400,0 (две тысяча четыреста) руб. 00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C0418">
              <w:rPr>
                <w:rFonts w:ascii="Times New Roman" w:hAnsi="Times New Roman"/>
                <w:b/>
                <w:sz w:val="24"/>
                <w:szCs w:val="24"/>
              </w:rPr>
              <w:t>Целевое назначение</w:t>
            </w:r>
            <w:r w:rsidRPr="00EC04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имущества: </w:t>
            </w:r>
            <w:r w:rsidRPr="00EC0418">
              <w:rPr>
                <w:rFonts w:ascii="Times New Roman" w:eastAsia="Times New Roman" w:hAnsi="Times New Roman"/>
                <w:sz w:val="24"/>
                <w:szCs w:val="24"/>
              </w:rPr>
              <w:t>для размещения общественного питания</w:t>
            </w:r>
          </w:p>
          <w:p w:rsidR="00F242CF" w:rsidRPr="00EC0418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</w:p>
          <w:p w:rsidR="00F242CF" w:rsidRPr="00EC0418" w:rsidRDefault="00F242CF" w:rsidP="00F242CF">
            <w:pPr>
              <w:spacing w:after="0"/>
              <w:ind w:left="426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Лот № 3</w:t>
            </w:r>
            <w:r w:rsidRPr="00EC0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Нежилое помещение расположенный на первом этаже многоквартирного жилого дома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Ак-Довурак ул. 50 лет ВЛКСМ д. </w:t>
            </w:r>
            <w:proofErr w:type="gramStart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2,  общей</w:t>
            </w:r>
            <w:proofErr w:type="gramEnd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86,1 </w:t>
            </w:r>
            <w:proofErr w:type="spellStart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центральное отопление, водоснабжение, электроснабжение, перег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ородки кирпичные, пол бетонный</w:t>
            </w:r>
          </w:p>
          <w:p w:rsidR="00F242CF" w:rsidRPr="00EC0418" w:rsidRDefault="00F242CF" w:rsidP="00F242CF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действия договора – 5 </w:t>
            </w:r>
            <w:proofErr w:type="spellStart"/>
            <w:proofErr w:type="gramStart"/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лет.ачальная</w:t>
            </w:r>
            <w:proofErr w:type="spellEnd"/>
            <w:proofErr w:type="gramEnd"/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(минимальная) цена договора (цена лота) – рыночная стоимость ежемесячной арендной платы. руб. без НДС/без коммунальных услуг</w:t>
            </w:r>
            <w:r w:rsidRPr="00EC0418">
              <w:rPr>
                <w:b/>
                <w:sz w:val="24"/>
                <w:szCs w:val="24"/>
              </w:rPr>
              <w:t xml:space="preserve"> –                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710,</w:t>
            </w:r>
            <w:r w:rsidR="0022453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(двадцать четыре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семьсот десять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proofErr w:type="gramStart"/>
            <w:r w:rsidR="002245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тысяча двести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тридцать пять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 коп.</w:t>
            </w:r>
          </w:p>
          <w:p w:rsidR="00F242CF" w:rsidRPr="00EC0418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задатка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2471,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 тысяча четыреста семьдесят один) руб. 00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418">
              <w:rPr>
                <w:rFonts w:ascii="Times New Roman" w:hAnsi="Times New Roman"/>
                <w:b/>
                <w:sz w:val="24"/>
                <w:szCs w:val="24"/>
              </w:rPr>
              <w:t>Целевое назначение</w:t>
            </w:r>
            <w:r w:rsidRPr="00EC04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имущества: </w:t>
            </w:r>
            <w:r w:rsidRPr="00EC0418">
              <w:rPr>
                <w:rFonts w:ascii="Times New Roman" w:eastAsia="Times New Roman" w:hAnsi="Times New Roman"/>
                <w:sz w:val="24"/>
                <w:szCs w:val="24"/>
              </w:rPr>
              <w:t>торговый объект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</w:p>
          <w:p w:rsidR="00F242CF" w:rsidRPr="00EC0418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Лот № 4</w:t>
            </w:r>
            <w:r w:rsidRPr="00EC04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Нежилое помещение распол</w:t>
            </w:r>
            <w:bookmarkStart w:id="0" w:name="_GoBack"/>
            <w:bookmarkEnd w:id="0"/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оженный на первом этаже многоквартирного жилого дома</w:t>
            </w:r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Ак-Довурак ул. Центральная д. 13, пом. с по </w:t>
            </w:r>
            <w:proofErr w:type="gramStart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9,  общей</w:t>
            </w:r>
            <w:proofErr w:type="gramEnd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53,1 </w:t>
            </w:r>
            <w:proofErr w:type="spellStart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EC04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отопление, водоснабжение, электроснабжение, перегор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одки кирпичные, пол бетонный</w:t>
            </w:r>
          </w:p>
          <w:p w:rsidR="00F242CF" w:rsidRPr="00EC0418" w:rsidRDefault="00F242CF" w:rsidP="00F242CF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действия договора – 5 лет.</w:t>
            </w:r>
          </w:p>
          <w:p w:rsidR="00F242CF" w:rsidRPr="00EC0418" w:rsidRDefault="00F242CF" w:rsidP="00F242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договора (цена лота) – рыночная стоимость ежемесячной арендной платы. руб. без НДС/без коммунальных услуг</w:t>
            </w:r>
            <w:r w:rsidRPr="00EC0418">
              <w:rPr>
                <w:b/>
                <w:sz w:val="24"/>
                <w:szCs w:val="24"/>
              </w:rPr>
              <w:t xml:space="preserve"> –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17947,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семнадцать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девятьсот сорок семь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Шаг аукциона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897,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восемьсот девяносто семь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 коп.</w:t>
            </w:r>
          </w:p>
          <w:p w:rsidR="00F242CF" w:rsidRPr="00EC0418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задатка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1794,8 (одна тысяча семьсот девяносто четыре) руб. 80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418">
              <w:rPr>
                <w:rFonts w:ascii="Times New Roman" w:hAnsi="Times New Roman"/>
                <w:b/>
                <w:sz w:val="24"/>
                <w:szCs w:val="24"/>
              </w:rPr>
              <w:t>Целевое назначение</w:t>
            </w:r>
            <w:r w:rsidRPr="00EC04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имущества: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тренажёрный зал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</w:p>
          <w:p w:rsidR="00F242CF" w:rsidRPr="00F216B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1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Лот № 5</w:t>
            </w:r>
            <w:r w:rsidRPr="00F216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proofErr w:type="gramEnd"/>
            <w:r w:rsidRPr="00276DE5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расположенный на первом этаже многоквартирного жилого дома</w:t>
            </w:r>
            <w:r w:rsidRPr="00F216BF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Ак-Довурак ул. Центральная д. 9 пом. с 14 по 16, общей площадью 19,7 </w:t>
            </w:r>
            <w:proofErr w:type="spellStart"/>
            <w:r w:rsidRPr="00F216B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21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DE5">
              <w:rPr>
                <w:rFonts w:ascii="Times New Roman" w:hAnsi="Times New Roman" w:cs="Times New Roman"/>
                <w:sz w:val="24"/>
                <w:szCs w:val="24"/>
              </w:rPr>
              <w:t>центральное отопление, водоснабжение, электроснабжение, перегор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одки кирпичные, пол бетонный</w:t>
            </w:r>
          </w:p>
          <w:p w:rsidR="00F242CF" w:rsidRPr="00EC0418" w:rsidRDefault="00F242CF" w:rsidP="00F242CF">
            <w:pPr>
              <w:keepNext/>
              <w:keepLines/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действия договора – 5 лет.</w:t>
            </w:r>
          </w:p>
          <w:p w:rsidR="00F242CF" w:rsidRPr="00EC0418" w:rsidRDefault="00F242CF" w:rsidP="00F242CF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(минимальная) цена договора (цена лота) – рыночная стоимость ежемесячной арендной платы. руб. без НДС/без коммунальных услуг</w:t>
            </w:r>
            <w:r w:rsidRPr="00EC0418">
              <w:rPr>
                <w:b/>
                <w:sz w:val="24"/>
                <w:szCs w:val="24"/>
              </w:rPr>
              <w:t xml:space="preserve"> –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7880,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восемьсот восемь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04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Шаг аукциона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394,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триста девяносто четыре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руб.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C0418">
              <w:rPr>
                <w:rFonts w:ascii="Times New Roman" w:eastAsia="Times New Roman" w:hAnsi="Times New Roman" w:cs="Times New Roman"/>
                <w:sz w:val="24"/>
                <w:szCs w:val="24"/>
              </w:rPr>
              <w:t>0  коп.</w:t>
            </w:r>
          </w:p>
          <w:p w:rsidR="00F242CF" w:rsidRPr="00EC0418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Сумма задатка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788,0 (семьсот восемьдесят восемь) руб. 00 коп.</w:t>
            </w:r>
          </w:p>
          <w:p w:rsidR="00F242CF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C0418">
              <w:rPr>
                <w:rFonts w:ascii="Times New Roman" w:hAnsi="Times New Roman"/>
                <w:b/>
                <w:sz w:val="24"/>
                <w:szCs w:val="24"/>
              </w:rPr>
              <w:t>Целевое назначение</w:t>
            </w:r>
            <w:r w:rsidRPr="00EC041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имущества: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услуги прачечной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F242CF" w:rsidRPr="0024139C" w:rsidRDefault="00F242CF" w:rsidP="00F242CF">
            <w:pPr>
              <w:keepNext/>
              <w:keepLines/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Существующие ограничения (обременения)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: отсутствуют.</w:t>
            </w:r>
          </w:p>
        </w:tc>
      </w:tr>
      <w:tr w:rsidR="00F242CF" w:rsidRPr="00CD7596" w:rsidTr="007D32F8">
        <w:tc>
          <w:tcPr>
            <w:tcW w:w="756" w:type="dxa"/>
            <w:vMerge/>
            <w:tcBorders>
              <w:right w:val="single" w:sz="4" w:space="0" w:color="auto"/>
            </w:tcBorders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CF" w:rsidRPr="0024139C" w:rsidRDefault="00F242CF" w:rsidP="007D32F8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589" w:type="dxa"/>
            <w:tcBorders>
              <w:top w:val="single" w:sz="4" w:space="0" w:color="auto"/>
            </w:tcBorders>
          </w:tcPr>
          <w:p w:rsidR="00F242CF" w:rsidRPr="00CD7596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осмотра имущества:</w:t>
            </w:r>
          </w:p>
          <w:p w:rsidR="00F242CF" w:rsidRPr="00CD7596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осмотра имущества осуществляется не реже чем через каждые пять рабочих дней с даты размещения извещения о проведении аукциона на официальном сайте, но не позднее, чем за два рабочих дня до даты окончания срока подачи заявок. </w:t>
            </w:r>
          </w:p>
          <w:p w:rsidR="00F242CF" w:rsidRPr="00CD7596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Осмотр обеспечивается без взимания платы.</w:t>
            </w:r>
          </w:p>
          <w:p w:rsidR="00F242CF" w:rsidRPr="00CD7596" w:rsidRDefault="00F242CF" w:rsidP="007D32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организации осмотра, получения дополнительной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имуществе, 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оформлени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заявки для участия в аукционе обращаться в рабочие часы по телефону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394-33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2-11-17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Допуловна</w:t>
            </w:r>
            <w:proofErr w:type="spellEnd"/>
            <w:r w:rsidRPr="00CD7596">
              <w:rPr>
                <w:rFonts w:ascii="Times New Roman" w:hAnsi="Times New Roman" w:cs="Times New Roman"/>
                <w:sz w:val="24"/>
                <w:szCs w:val="24"/>
              </w:rPr>
              <w:t xml:space="preserve">, и по электронной почте: </w:t>
            </w:r>
            <w:hyperlink r:id="rId5" w:history="1">
              <w:r w:rsidRPr="00573BC9">
                <w:rPr>
                  <w:rStyle w:val="a4"/>
                  <w:lang w:val="en-US"/>
                </w:rPr>
                <w:t>oizo</w:t>
              </w:r>
              <w:r w:rsidRPr="00573BC9">
                <w:rPr>
                  <w:rStyle w:val="a4"/>
                </w:rPr>
                <w:t>.</w:t>
              </w:r>
              <w:r w:rsidRPr="00573BC9">
                <w:rPr>
                  <w:rStyle w:val="a4"/>
                  <w:lang w:val="en-US"/>
                </w:rPr>
                <w:t>adm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73BC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CD75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589" w:type="dxa"/>
          </w:tcPr>
          <w:p w:rsidR="00F242CF" w:rsidRPr="00D07B7A" w:rsidRDefault="00F242CF" w:rsidP="007D32F8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07B7A">
              <w:rPr>
                <w:rFonts w:ascii="Times New Roman" w:hAnsi="Times New Roman"/>
                <w:b/>
                <w:sz w:val="24"/>
                <w:szCs w:val="24"/>
              </w:rPr>
              <w:t>Требования к техническому состоянию имущества:</w:t>
            </w:r>
          </w:p>
          <w:p w:rsidR="00F242CF" w:rsidRPr="00D07B7A" w:rsidRDefault="00F242CF" w:rsidP="007D32F8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B7A">
              <w:rPr>
                <w:rFonts w:ascii="Times New Roman" w:hAnsi="Times New Roman"/>
                <w:sz w:val="24"/>
                <w:szCs w:val="24"/>
              </w:rPr>
              <w:t>Имущество, являющееся предметом аукциона (лота), находится в технически удовлетворительном эксплуатационном состоянии.</w:t>
            </w:r>
          </w:p>
          <w:p w:rsidR="00F242CF" w:rsidRPr="00CD7596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B7A">
              <w:rPr>
                <w:rFonts w:ascii="Times New Roman" w:hAnsi="Times New Roman"/>
                <w:sz w:val="24"/>
                <w:szCs w:val="24"/>
              </w:rPr>
              <w:t>На момент окончания договора аренды имущество должно быть в технически хорошем эксплуатационном состоянии, без изменений площадей, с сохранением всех функционирующих инженерных систем и сетей.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589" w:type="dxa"/>
          </w:tcPr>
          <w:p w:rsidR="00F242CF" w:rsidRPr="00B40B87" w:rsidRDefault="00F242CF" w:rsidP="007D32F8">
            <w:pPr>
              <w:pStyle w:val="a8"/>
              <w:keepNext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91F71">
              <w:rPr>
                <w:rFonts w:ascii="Times New Roman" w:hAnsi="Times New Roman"/>
                <w:b/>
                <w:sz w:val="24"/>
                <w:szCs w:val="24"/>
              </w:rPr>
              <w:t>ребования к объему, перечню, качеству и срокам выполнения работ, которые необходимо выполнить в отношении муниципального имущества, права на которое передаются по договору, а также требования к качеству, техническим характеристикам товаров (работ, услуг), поставка (выполнение, оказание) которых происходит с использованием такого имущества, требования к описанию участниками аукциона поставляемого товара, его функциональных характеристик (потребительских свойств), а также его количественных и качественных характеристик, требования к описанию участниками аукциона выполняемых работ, оказываемых услуг, их количественных и качественных характеристик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991F71">
              <w:rPr>
                <w:rFonts w:ascii="Times New Roman" w:hAnsi="Times New Roman"/>
                <w:sz w:val="24"/>
                <w:szCs w:val="24"/>
              </w:rPr>
              <w:t>требования не предусмотрены</w:t>
            </w:r>
          </w:p>
        </w:tc>
      </w:tr>
      <w:tr w:rsidR="00F242CF" w:rsidRPr="00CD7596" w:rsidTr="007D32F8">
        <w:tc>
          <w:tcPr>
            <w:tcW w:w="9345" w:type="dxa"/>
            <w:gridSpan w:val="2"/>
          </w:tcPr>
          <w:p w:rsidR="00F242CF" w:rsidRPr="00B40B87" w:rsidRDefault="00F242CF" w:rsidP="007D32F8">
            <w:pPr>
              <w:pStyle w:val="a8"/>
              <w:keepNext/>
              <w:contextualSpacing/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1715">
              <w:rPr>
                <w:rFonts w:ascii="Times New Roman" w:hAnsi="Times New Roman"/>
                <w:b/>
                <w:sz w:val="24"/>
                <w:szCs w:val="24"/>
              </w:rPr>
              <w:t>III. ИНФОРМАЦИЯ О ЗАДАТКЕ:</w:t>
            </w:r>
          </w:p>
        </w:tc>
      </w:tr>
      <w:tr w:rsidR="00F242CF" w:rsidRPr="00CD7596" w:rsidTr="007D32F8">
        <w:tc>
          <w:tcPr>
            <w:tcW w:w="756" w:type="dxa"/>
            <w:vMerge w:val="restart"/>
          </w:tcPr>
          <w:p w:rsidR="00F242CF" w:rsidRDefault="00F242CF" w:rsidP="00F242CF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89" w:type="dxa"/>
          </w:tcPr>
          <w:p w:rsidR="00F242CF" w:rsidRPr="00F242CF" w:rsidRDefault="00F242CF" w:rsidP="00F242C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2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Требование о внесении задатка:</w:t>
            </w:r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Сумма задатка для участия в аукционе (+10 % от начальной цены лота) перечисляется (вносится) в течение срока приема заявок </w:t>
            </w:r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единым платежом на виртуальный счет Претендента, открытый при регистрации на электронной площадке: р/с 40602810900028010693, получатель АО «АГЗРТ», банк ПАО "АК БАРС" БАНК г. Казань, БИК 049205805, к/с 30101810000000000805, ИНН 1655391893, КПП 165501001. Назначение платежа: Пополнение виртуального счёта по площадке </w:t>
            </w:r>
            <w:hyperlink r:id="rId6" w:history="1"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sale</w:t>
              </w:r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zakazrf</w:t>
              </w:r>
              <w:proofErr w:type="spellEnd"/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счет №______________. НДС не облагается. (Платеж без указанного виртуального счета будет возвращаться на счет, с которого был принят без зачисления, номер виртуального счета присваивается после регистрации участника).</w:t>
            </w:r>
          </w:p>
          <w:p w:rsidR="00F242CF" w:rsidRPr="00F242CF" w:rsidRDefault="00F242CF" w:rsidP="00F242C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Инструкция по перечислению задатка для участия в торгах и порядок возврата задатка размещена в разделе «Документы» см. «Инструкция покупателя по торгам на аренду» на электронной площадке </w:t>
            </w:r>
            <w:hyperlink r:id="rId7" w:history="1"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sale</w:t>
              </w:r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zakazrf</w:t>
              </w:r>
              <w:proofErr w:type="spellEnd"/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F242CF">
                <w:rPr>
                  <w:rStyle w:val="a4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F242CF" w:rsidRPr="00F242CF" w:rsidRDefault="00F242CF" w:rsidP="00F242C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2C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Возврат задатка: </w:t>
            </w:r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Лицам, перечислившим задаток для участия в аукционе, денежные средства возвращаются в следующем порядке:</w:t>
            </w:r>
            <w:bookmarkStart w:id="1" w:name="sub_53"/>
          </w:p>
          <w:p w:rsidR="00F242CF" w:rsidRPr="00F242CF" w:rsidRDefault="00F242CF" w:rsidP="00F242CF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 участникам аукциона, за исключением победителя аукциона и участника аукциона, сделавшего предпоследнее предложение о цене договора – в течение пяти рабочих дней с даты размещения протокола проведения итогов аукциона на официальном сайте;</w:t>
            </w:r>
          </w:p>
          <w:p w:rsidR="00F242CF" w:rsidRPr="00F242CF" w:rsidRDefault="00F242CF" w:rsidP="00F242C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участнику аукциона, который сделал предпоследнее предложение о цене договора – в течение пяти рабочих дней с даты подписания договора с победителем аукциона;</w:t>
            </w:r>
          </w:p>
          <w:p w:rsidR="00F242CF" w:rsidRPr="00F242CF" w:rsidRDefault="00F242CF" w:rsidP="00F242C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sub_54"/>
            <w:bookmarkEnd w:id="1"/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заявителю, не допущенному к участию в аукционе – в течение пяти рабочих дней с даты подписания протокола рассмотрения заявок на участие в аукционе;</w:t>
            </w:r>
            <w:bookmarkEnd w:id="2"/>
          </w:p>
          <w:p w:rsidR="00F242CF" w:rsidRPr="00F242CF" w:rsidRDefault="00F242CF" w:rsidP="00F242C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г) в случае отказа от проведения аукциона – в течение пяти рабочих дней с даты размещения извещения об отказе от проведения аукциона на официальном сайте;</w:t>
            </w:r>
          </w:p>
          <w:p w:rsidR="00F242CF" w:rsidRPr="00F242CF" w:rsidRDefault="00F242CF" w:rsidP="00F242C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д) заявителю, направившему заявку после окончания установленного срока приёма заявок – в течение пяти рабочих дней с даты окончания срока приёма заявок;</w:t>
            </w:r>
          </w:p>
          <w:p w:rsidR="00F242CF" w:rsidRPr="00F242CF" w:rsidRDefault="00F242CF" w:rsidP="00F242CF">
            <w:pPr>
              <w:spacing w:after="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242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е) в случае отзыва заявителем заявки – в течение пяти рабочих дней с даты поступления организатору аукциона уведомления об отзыве заявки на участие в аукционе.</w:t>
            </w:r>
          </w:p>
          <w:p w:rsidR="00F242CF" w:rsidRPr="00F242CF" w:rsidRDefault="00F242CF" w:rsidP="00F242C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242CF" w:rsidRPr="00CD7596" w:rsidTr="007D32F8">
        <w:tc>
          <w:tcPr>
            <w:tcW w:w="756" w:type="dxa"/>
            <w:vMerge/>
          </w:tcPr>
          <w:p w:rsidR="00F242CF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9" w:type="dxa"/>
            <w:vAlign w:val="center"/>
          </w:tcPr>
          <w:p w:rsidR="00F242CF" w:rsidRPr="006E1715" w:rsidRDefault="00F242CF" w:rsidP="007D32F8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42CF" w:rsidRPr="00CD7596" w:rsidTr="007D32F8">
        <w:tc>
          <w:tcPr>
            <w:tcW w:w="9345" w:type="dxa"/>
            <w:gridSpan w:val="2"/>
          </w:tcPr>
          <w:p w:rsidR="00F242CF" w:rsidRPr="00CD7596" w:rsidRDefault="00F242CF" w:rsidP="007D32F8">
            <w:pPr>
              <w:pStyle w:val="a6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E0123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участникам аукциона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589" w:type="dxa"/>
          </w:tcPr>
          <w:p w:rsidR="00F242CF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143A81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Участником конкурсов или аукционов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. </w:t>
            </w:r>
          </w:p>
          <w:p w:rsidR="00F242CF" w:rsidRPr="00143A81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>Участники аукциона должны соответствовать требованиям, установленным законодательством Российской Федерации к таким участникам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589" w:type="dxa"/>
          </w:tcPr>
          <w:p w:rsidR="00F242CF" w:rsidRPr="0084204A" w:rsidRDefault="00F242CF" w:rsidP="00F242CF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 - </w:t>
            </w: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 </w:t>
            </w:r>
            <w:r w:rsidRPr="00E012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  <w:r w:rsidRPr="00E012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05</w:t>
            </w:r>
            <w:r w:rsidRPr="00E012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  <w:r w:rsidRPr="00E0123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).</w:t>
            </w: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об отказе от проведения аукциона размещается на официальном сайте торгов </w:t>
            </w:r>
            <w:hyperlink r:id="rId8" w:history="1">
              <w:r w:rsidRPr="00E012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E01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012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E01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012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E0123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0123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</w:t>
            </w:r>
            <w:r w:rsidRPr="00AE543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public</w:t>
            </w: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 xml:space="preserve"> и на  электронной площадке </w:t>
            </w:r>
            <w:r w:rsidRPr="00E012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E012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E012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E0123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E01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01237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одного дня с даты принятия решения об отказе от проведения аукциона. В случае если установлено требование о внесении задатка, задаток возвращает заявителям в течение пяти рабочих дней с даты принятия решения об отказе от проведения аукциона.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8589" w:type="dxa"/>
          </w:tcPr>
          <w:p w:rsidR="00F242CF" w:rsidRPr="00E01237" w:rsidRDefault="00F242CF" w:rsidP="007D32F8">
            <w:pPr>
              <w:pStyle w:val="a6"/>
              <w:keepNext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7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содержанию, составу и форме заявки на участие в аукционе</w:t>
            </w: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242CF" w:rsidRPr="00E01237" w:rsidRDefault="00F242CF" w:rsidP="007D32F8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аукционе претенденты заполняют электронную форму заявки, размещенную в открытой для доступа неограниченного круга лиц части электронной площадки, с приложением электронных документов в соответствии с перечнем, указанным в п.4.2 раздела 4 части </w:t>
            </w:r>
            <w:r w:rsidRPr="00E01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настоящей Документации об аукционе.</w:t>
            </w:r>
          </w:p>
          <w:p w:rsidR="00F242CF" w:rsidRPr="00E01237" w:rsidRDefault="00F242CF" w:rsidP="007D32F8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>Заявка на участие в аукционе в электронной форме подается в форме электронного документа (прилагаемые документы должны быть отсканированы) и должна быть подписана в соответствии с нормативными правовыми актами Российской Федерации через оператора аукциона.</w:t>
            </w:r>
          </w:p>
          <w:p w:rsidR="00F242CF" w:rsidRPr="00CD7596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37">
              <w:rPr>
                <w:rFonts w:ascii="Times New Roman" w:hAnsi="Times New Roman" w:cs="Times New Roman"/>
                <w:sz w:val="24"/>
                <w:szCs w:val="24"/>
              </w:rPr>
              <w:t>При заполнении заявки рекомендуется использовать общепринятые обозначения и наименования, а также избегать формулировок, допускающих неоднозначное толкование.</w:t>
            </w:r>
          </w:p>
        </w:tc>
      </w:tr>
      <w:tr w:rsidR="00F242CF" w:rsidRPr="00CD7596" w:rsidTr="007D32F8">
        <w:tc>
          <w:tcPr>
            <w:tcW w:w="9345" w:type="dxa"/>
            <w:gridSpan w:val="2"/>
          </w:tcPr>
          <w:p w:rsidR="00F242CF" w:rsidRPr="00CD7596" w:rsidRDefault="00F242CF" w:rsidP="007D32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F6B2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F6B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75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УСЛОВИЯ ПРОВЕДЕНИЯ ПРОЦЕДУРЫ: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589" w:type="dxa"/>
          </w:tcPr>
          <w:p w:rsidR="00F242CF" w:rsidRDefault="00F242CF" w:rsidP="007D32F8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Место подачи заявок: </w:t>
            </w: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Татарстан» - 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F242CF" w:rsidRDefault="00F242CF" w:rsidP="007D32F8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Датой начала срока подачи заявок</w:t>
            </w: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участие в аукционе является день, следую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щий за днем размещения извещения о проведении аукциона</w:t>
            </w: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Российской Федерации для размещения информации о проведении торгов</w:t>
            </w: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9" w:history="1">
              <w:r w:rsidRPr="00CD75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https://torgi.gov.ru/new/public</w:t>
              </w:r>
            </w:hyperlink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242CF" w:rsidRDefault="00F242CF" w:rsidP="007D32F8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окончания приема заявок: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  <w:r w:rsidRPr="001C0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мая</w:t>
            </w:r>
            <w:r w:rsidRPr="001C093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2024</w:t>
            </w:r>
            <w:r w:rsidRPr="00BD1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года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( 17</w:t>
            </w:r>
            <w:r w:rsidRPr="00BD1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:00</w:t>
            </w:r>
            <w:proofErr w:type="gramEnd"/>
            <w:r w:rsidRPr="00BD1E8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).</w:t>
            </w:r>
          </w:p>
          <w:p w:rsidR="00F242CF" w:rsidRDefault="00F242CF" w:rsidP="007D32F8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аукционе заявители должны быть зарегистрированы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сайт).</w:t>
            </w:r>
          </w:p>
          <w:p w:rsidR="00F242CF" w:rsidRPr="00CD7596" w:rsidRDefault="00F242CF" w:rsidP="007D32F8">
            <w:pPr>
              <w:keepNext/>
              <w:keepLines/>
              <w:autoSpaceDE w:val="0"/>
              <w:autoSpaceDN w:val="0"/>
              <w:adjustRightInd w:val="0"/>
              <w:ind w:left="-31"/>
              <w:contextualSpacing/>
              <w:mirrorIndents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589" w:type="dxa"/>
          </w:tcPr>
          <w:p w:rsidR="00F242CF" w:rsidRPr="0016729F" w:rsidRDefault="00F242CF" w:rsidP="007D32F8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Порядок подачи заявки:</w:t>
            </w:r>
          </w:p>
          <w:p w:rsidR="00F242CF" w:rsidRDefault="00F242CF" w:rsidP="007D32F8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672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участия в </w:t>
            </w:r>
            <w:r w:rsidRPr="00CD7596">
              <w:rPr>
                <w:rFonts w:ascii="Times New Roman" w:eastAsia="Times New Roman" w:hAnsi="Times New Roman" w:cs="Times New Roman"/>
                <w:sz w:val="24"/>
                <w:szCs w:val="24"/>
              </w:rPr>
              <w:t>аукционе заявитель должен быть зарегистрирован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 (</w:t>
            </w:r>
            <w:r w:rsidRPr="00CD759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сайте).</w:t>
            </w:r>
          </w:p>
          <w:p w:rsidR="00F242CF" w:rsidRPr="0050163F" w:rsidRDefault="00F242CF" w:rsidP="007D32F8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течение срока </w:t>
            </w:r>
            <w:r w:rsidRPr="005016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приема заявок заявитель в личном кабинете на электронной площадке формирует заявку </w:t>
            </w:r>
            <w:r w:rsidRPr="0050163F">
              <w:rPr>
                <w:rFonts w:ascii="Times New Roman" w:hAnsi="Times New Roman" w:cs="Times New Roman"/>
              </w:rPr>
              <w:t xml:space="preserve">путем заполнения ее электронной формы, с приложением электронных образов документов и 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направляется оператору электронной площадки в форме электронного документа, подписан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163F">
              <w:rPr>
                <w:rFonts w:ascii="Times New Roman" w:hAnsi="Times New Roman" w:cs="Times New Roman"/>
                <w:sz w:val="24"/>
                <w:szCs w:val="24"/>
              </w:rPr>
              <w:t>ого усиленной квалифицированной подписью заявителя.</w:t>
            </w:r>
          </w:p>
          <w:p w:rsidR="00F242CF" w:rsidRPr="00CD7596" w:rsidRDefault="00F242CF" w:rsidP="007D32F8">
            <w:pPr>
              <w:keepNext/>
              <w:keepLines/>
              <w:autoSpaceDE w:val="0"/>
              <w:autoSpaceDN w:val="0"/>
              <w:adjustRightInd w:val="0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Одно лицо имеет право подать только одну заявку</w:t>
            </w:r>
            <w:r>
              <w:t xml:space="preserve"> </w:t>
            </w:r>
            <w:r w:rsidRPr="0089747D">
              <w:rPr>
                <w:rFonts w:ascii="Times New Roman" w:hAnsi="Times New Roman" w:cs="Times New Roman"/>
                <w:sz w:val="24"/>
                <w:szCs w:val="24"/>
              </w:rPr>
              <w:t>в отношении каждого предмета аукциона (лота)</w:t>
            </w:r>
            <w:r w:rsidRPr="000B3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589" w:type="dxa"/>
          </w:tcPr>
          <w:p w:rsidR="00F242CF" w:rsidRDefault="00F242CF" w:rsidP="007D32F8">
            <w:pPr>
              <w:pStyle w:val="a6"/>
              <w:keepNext/>
              <w:contextualSpacing/>
              <w:mirrorIndents/>
              <w:jc w:val="both"/>
              <w:rPr>
                <w:sz w:val="24"/>
                <w:szCs w:val="24"/>
              </w:rPr>
            </w:pPr>
            <w:r w:rsidRPr="0085347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и срок отзыва заявок:</w:t>
            </w:r>
            <w:r w:rsidRPr="00853476">
              <w:rPr>
                <w:sz w:val="24"/>
                <w:szCs w:val="24"/>
              </w:rPr>
              <w:t xml:space="preserve"> </w:t>
            </w:r>
          </w:p>
          <w:p w:rsidR="00F242CF" w:rsidRPr="00773129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3129">
              <w:rPr>
                <w:rFonts w:ascii="Times New Roman" w:hAnsi="Times New Roman" w:cs="Times New Roman"/>
                <w:sz w:val="24"/>
                <w:szCs w:val="24"/>
              </w:rPr>
              <w:t>Заявитель вправе отозвать заявку в любое время до установленных даты</w:t>
            </w:r>
            <w:r w:rsidRPr="0077312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времени окончания срока подачи заявок на участие в аукционе путем оформления отзыва заявки в личном кабинете на электронной площадке.  </w:t>
            </w:r>
          </w:p>
        </w:tc>
      </w:tr>
      <w:tr w:rsidR="00F242CF" w:rsidRPr="00CD7596" w:rsidTr="007D32F8">
        <w:trPr>
          <w:trHeight w:val="673"/>
        </w:trPr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8589" w:type="dxa"/>
          </w:tcPr>
          <w:p w:rsidR="00F242CF" w:rsidRDefault="00F242CF" w:rsidP="007D32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33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время рассмотрения заявок на участие в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242CF" w:rsidRPr="00411D39" w:rsidRDefault="00F242CF" w:rsidP="007D32F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мая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24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г.,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11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>час.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00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мин., </w:t>
            </w:r>
          </w:p>
          <w:p w:rsidR="00F242CF" w:rsidRPr="00B0463C" w:rsidRDefault="00F242CF" w:rsidP="007D32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по адресу: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Республика Тыва, г. Ак-Довурак, ул. Комсомольская, д. 3а 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589" w:type="dxa"/>
          </w:tcPr>
          <w:p w:rsidR="00F242CF" w:rsidRPr="00581FFD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аукциона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0139A">
              <w:rPr>
                <w:sz w:val="24"/>
                <w:szCs w:val="24"/>
              </w:rPr>
              <w:t xml:space="preserve"> </w:t>
            </w:r>
            <w:r w:rsidRPr="0040139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площадка АО «Агентство по государственному заказу Республики </w:t>
            </w:r>
            <w:r w:rsidRPr="00581FFD">
              <w:rPr>
                <w:rFonts w:ascii="Times New Roman" w:hAnsi="Times New Roman" w:cs="Times New Roman"/>
                <w:sz w:val="24"/>
                <w:szCs w:val="24"/>
              </w:rPr>
              <w:t xml:space="preserve">Татарстан» – 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sale</w:t>
            </w:r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zakazrf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81F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581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  <w:p w:rsidR="00F242CF" w:rsidRPr="009C022A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 и время проведения аукциона: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31</w:t>
            </w:r>
            <w:r w:rsidRPr="00E06D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мая</w:t>
            </w:r>
            <w:r w:rsidRPr="00E06DD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2024</w:t>
            </w:r>
            <w:r w:rsidRPr="00B046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года, начало в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09</w:t>
            </w:r>
            <w:r w:rsidRPr="00B0463C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:00 часов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63C">
              <w:rPr>
                <w:sz w:val="24"/>
                <w:szCs w:val="24"/>
              </w:rPr>
              <w:t>(</w:t>
            </w:r>
            <w:r w:rsidRPr="00B0463C">
              <w:rPr>
                <w:rFonts w:ascii="Times New Roman" w:hAnsi="Times New Roman" w:cs="Times New Roman"/>
                <w:sz w:val="24"/>
                <w:szCs w:val="24"/>
              </w:rPr>
              <w:t>время проведения процедуры аукциона соответствует местному</w:t>
            </w: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 xml:space="preserve"> времени, в котором функционирует электронная площадка).</w:t>
            </w:r>
          </w:p>
          <w:p w:rsidR="00F242CF" w:rsidRPr="009C022A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аукциона:</w:t>
            </w:r>
          </w:p>
          <w:p w:rsidR="00F242CF" w:rsidRPr="009C022A" w:rsidRDefault="00F242CF" w:rsidP="007D32F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22A">
              <w:rPr>
                <w:rFonts w:ascii="Times New Roman" w:hAnsi="Times New Roman" w:cs="Times New Roman"/>
                <w:sz w:val="24"/>
                <w:szCs w:val="24"/>
              </w:rPr>
              <w:t>Непосредственно принимать участие в аукционе могут только заявители, признанные участниками аукциона.</w:t>
            </w:r>
          </w:p>
          <w:p w:rsidR="00F242CF" w:rsidRPr="00F659E7" w:rsidRDefault="00F242CF" w:rsidP="007D32F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договора.</w:t>
            </w:r>
          </w:p>
          <w:p w:rsidR="00F242CF" w:rsidRPr="00F659E7" w:rsidRDefault="00F242CF" w:rsidP="007D32F8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59E7">
              <w:rPr>
                <w:rFonts w:ascii="Times New Roman" w:hAnsi="Times New Roman" w:cs="Times New Roman"/>
                <w:sz w:val="24"/>
                <w:szCs w:val="24"/>
              </w:rPr>
              <w:t>Процедура аукциона начинается в день и время, указанные выше.</w:t>
            </w:r>
          </w:p>
          <w:p w:rsidR="00F242CF" w:rsidRPr="00583C93" w:rsidRDefault="00F242CF" w:rsidP="007D32F8">
            <w:pPr>
              <w:pStyle w:val="a3"/>
              <w:widowControl w:val="0"/>
              <w:contextualSpacing/>
              <w:jc w:val="both"/>
            </w:pPr>
            <w:r w:rsidRPr="00583C93">
              <w:t>Аукцион проводится путем повышения начальной (минимальной) цены договора на «шаг аукциона»</w:t>
            </w:r>
            <w:r>
              <w:t xml:space="preserve"> </w:t>
            </w:r>
            <w:r w:rsidRPr="00583C93">
              <w:t>в следующем порядке:</w:t>
            </w:r>
          </w:p>
          <w:p w:rsidR="00F242CF" w:rsidRPr="00583C93" w:rsidRDefault="00F242CF" w:rsidP="007D32F8">
            <w:pPr>
              <w:pStyle w:val="a3"/>
              <w:widowControl w:val="0"/>
              <w:contextualSpacing/>
              <w:jc w:val="both"/>
            </w:pPr>
            <w:r>
              <w:t>1</w:t>
            </w:r>
            <w:r w:rsidRPr="00583C93">
              <w:t>)</w:t>
            </w:r>
            <w:r>
              <w:t> </w:t>
            </w:r>
            <w:proofErr w:type="gramStart"/>
            <w:r>
              <w:t>В</w:t>
            </w:r>
            <w:proofErr w:type="gramEnd"/>
            <w:r>
              <w:t xml:space="preserve"> течение 6</w:t>
            </w:r>
            <w:r w:rsidRPr="00583C93">
              <w:t>0 (</w:t>
            </w:r>
            <w:r>
              <w:t>шестидесяти</w:t>
            </w:r>
            <w:r w:rsidRPr="00583C93">
              <w:t xml:space="preserve">) минут со времени начала проведения процедуры аукциона участникам предлагается подтвердить </w:t>
            </w:r>
            <w:r>
              <w:t xml:space="preserve">цену, </w:t>
            </w:r>
            <w:r w:rsidRPr="00331DE7">
              <w:t>увеличивающ</w:t>
            </w:r>
            <w:r>
              <w:t xml:space="preserve">ую </w:t>
            </w:r>
            <w:r w:rsidRPr="00583C93">
              <w:t>начальную (минимальную) цену договора</w:t>
            </w:r>
            <w:r>
              <w:t xml:space="preserve"> </w:t>
            </w:r>
            <w:r w:rsidRPr="00331DE7">
              <w:t>на «шаг аукциона»</w:t>
            </w:r>
            <w:r>
              <w:t>.</w:t>
            </w:r>
          </w:p>
          <w:p w:rsidR="00F242CF" w:rsidRDefault="00F242CF" w:rsidP="007D32F8">
            <w:pPr>
              <w:pStyle w:val="a3"/>
              <w:widowControl w:val="0"/>
              <w:contextualSpacing/>
              <w:jc w:val="both"/>
            </w:pPr>
            <w:r>
              <w:t>2</w:t>
            </w:r>
            <w:r w:rsidRPr="00583C93">
              <w:t>)</w:t>
            </w:r>
            <w:r>
              <w:t xml:space="preserve"> </w:t>
            </w:r>
            <w:proofErr w:type="gramStart"/>
            <w:r w:rsidRPr="00583C93">
              <w:t>В</w:t>
            </w:r>
            <w:proofErr w:type="gramEnd"/>
            <w:r w:rsidRPr="00583C93">
              <w:t xml:space="preserve"> случае если</w:t>
            </w:r>
            <w:r>
              <w:t xml:space="preserve"> </w:t>
            </w:r>
            <w:r w:rsidRPr="00583C93">
              <w:t xml:space="preserve">в течение указанного времени поступило </w:t>
            </w:r>
            <w:r>
              <w:t xml:space="preserve">предложение о цене договора (цене лота), увеличивающее его текущее значение на «шаг аукциона», </w:t>
            </w:r>
            <w:r w:rsidRPr="00A332B5">
              <w:t xml:space="preserve">то время для представления следующих предложений об увеличенной на </w:t>
            </w:r>
            <w:r>
              <w:t>«</w:t>
            </w:r>
            <w:r w:rsidRPr="00A332B5">
              <w:t>шаг аукциона</w:t>
            </w:r>
            <w:r>
              <w:t>»</w:t>
            </w:r>
            <w:r w:rsidRPr="00A332B5">
              <w:t xml:space="preserve"> цене </w:t>
            </w:r>
            <w:r>
              <w:t>договора (цене лота)</w:t>
            </w:r>
            <w:r w:rsidRPr="00A332B5">
              <w:t xml:space="preserve"> продлевается на </w:t>
            </w:r>
            <w:r>
              <w:t>2</w:t>
            </w:r>
            <w:r w:rsidRPr="00A332B5">
              <w:t>0 минут со времени представления каждого следующего предложения.</w:t>
            </w:r>
            <w:r>
              <w:t> </w:t>
            </w:r>
          </w:p>
          <w:p w:rsidR="00F242CF" w:rsidRDefault="00F242CF" w:rsidP="007D32F8">
            <w:pPr>
              <w:pStyle w:val="a3"/>
              <w:widowControl w:val="0"/>
              <w:contextualSpacing/>
              <w:jc w:val="both"/>
            </w:pPr>
            <w:r>
              <w:t>3</w:t>
            </w:r>
            <w:r w:rsidRPr="00331DE7">
              <w:t>) </w:t>
            </w:r>
            <w:proofErr w:type="gramStart"/>
            <w:r w:rsidRPr="00331DE7">
              <w:t>В</w:t>
            </w:r>
            <w:proofErr w:type="gramEnd"/>
            <w:r w:rsidRPr="00331DE7">
              <w:t xml:space="preserve"> случае если не поступило ни одного предложения о цене договора (цене лота), увеличивающего его текущее значения на «шаг аукциона», аукцион с помощью программно-аппаратных средств оператора электронной площадки завершается.</w:t>
            </w:r>
            <w:r w:rsidRPr="00583C93">
              <w:t xml:space="preserve"> </w:t>
            </w:r>
          </w:p>
          <w:p w:rsidR="00F242CF" w:rsidRDefault="00F242CF" w:rsidP="007D32F8">
            <w:pPr>
              <w:pStyle w:val="a3"/>
              <w:widowControl w:val="0"/>
              <w:contextualSpacing/>
              <w:jc w:val="both"/>
            </w:pPr>
            <w:r w:rsidRPr="007904B1">
              <w:t>4</w:t>
            </w:r>
            <w:r>
              <w:t>)</w:t>
            </w:r>
            <w:r w:rsidRPr="00563BED">
              <w:t xml:space="preserve"> </w:t>
            </w:r>
            <w:r w:rsidRPr="00331DE7">
              <w:t>Участник, предложение о цене договора которого является лучшим текущим предложением о цене договора, не вправе делать следующее предложение о цене.</w:t>
            </w:r>
          </w:p>
          <w:p w:rsidR="00F242CF" w:rsidRDefault="00F242CF" w:rsidP="007D32F8">
            <w:pPr>
              <w:pStyle w:val="a3"/>
              <w:widowControl w:val="0"/>
              <w:contextualSpacing/>
              <w:jc w:val="both"/>
            </w:pPr>
            <w:r>
              <w:t xml:space="preserve">5) </w:t>
            </w:r>
            <w:r w:rsidRPr="00331DE7">
              <w:t xml:space="preserve">Представленное участником аукциона предложение о цене договора не может быть ниже начальной (минимальной) цены договора (цены лота), равным или ниже ранее представленных участниками предложений о цене договора. </w:t>
            </w:r>
          </w:p>
          <w:p w:rsidR="00F242CF" w:rsidRDefault="00F242CF" w:rsidP="007D32F8">
            <w:pPr>
              <w:pStyle w:val="a3"/>
              <w:widowControl w:val="0"/>
              <w:contextualSpacing/>
              <w:jc w:val="both"/>
            </w:pPr>
            <w:r>
              <w:t xml:space="preserve">6) </w:t>
            </w:r>
            <w:r w:rsidRPr="00583C93">
              <w:t>Победителем аукциона признается лицо, предложившее наиболее высокую цену договора.</w:t>
            </w:r>
          </w:p>
          <w:p w:rsidR="00F242CF" w:rsidRPr="00CF6B2A" w:rsidRDefault="00F242CF" w:rsidP="007D32F8">
            <w:pPr>
              <w:pStyle w:val="a3"/>
              <w:widowControl w:val="0"/>
              <w:contextualSpacing/>
              <w:jc w:val="both"/>
            </w:pPr>
            <w:r>
              <w:t>7</w:t>
            </w:r>
            <w:r w:rsidRPr="007904B1">
              <w:t xml:space="preserve">) Если в течение 60 минут от начала проведения аукциона участники аукциона не подали ни одного предложения о цене договора (цене лота), предусматривающего более высокую цену договора, чем начальная (минимальная) цена договора (цена лота), аукцион признается несостоявшимся. 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8589" w:type="dxa"/>
          </w:tcPr>
          <w:p w:rsidR="00F242CF" w:rsidRPr="00B40B87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4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Срок, в течение которого организатор аукциона вправе отказаться от проведения аукциона: </w:t>
            </w:r>
            <w:r w:rsidRPr="007904B1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вправе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 xml:space="preserve"> отказаться от проведения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об отказе от проведения аукциона размещается на официальном сайте торгов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F03C6D">
              <w:rPr>
                <w:rFonts w:ascii="Times New Roman" w:hAnsi="Times New Roman" w:cs="Times New Roman"/>
                <w:sz w:val="24"/>
                <w:szCs w:val="24"/>
              </w:rPr>
              <w:t>на электронной площадке не позднее чем за пять дней до даты окончания срока подачи заявок на участие в аукционе.</w:t>
            </w:r>
          </w:p>
        </w:tc>
      </w:tr>
      <w:tr w:rsidR="00F242CF" w:rsidRPr="00CD7596" w:rsidTr="007D32F8">
        <w:tc>
          <w:tcPr>
            <w:tcW w:w="9345" w:type="dxa"/>
            <w:gridSpan w:val="2"/>
          </w:tcPr>
          <w:p w:rsidR="00F242CF" w:rsidRPr="00CD7596" w:rsidRDefault="00F242CF" w:rsidP="007D32F8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86C34">
              <w:rPr>
                <w:rFonts w:ascii="Times New Roman" w:hAnsi="Times New Roman" w:cs="Times New Roman"/>
                <w:b/>
                <w:sz w:val="24"/>
                <w:szCs w:val="24"/>
              </w:rPr>
              <w:t>. ЗАКЛЮЧЕНИЕ ДОГОВОРА: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8589" w:type="dxa"/>
          </w:tcPr>
          <w:p w:rsidR="00F242CF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6FE">
              <w:rPr>
                <w:rFonts w:ascii="Times New Roman" w:hAnsi="Times New Roman" w:cs="Times New Roman"/>
                <w:b/>
                <w:sz w:val="24"/>
                <w:szCs w:val="24"/>
              </w:rPr>
              <w:t>Срок заключения договора</w:t>
            </w:r>
            <w:r w:rsidRPr="006716F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83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42CF" w:rsidRPr="00411D39" w:rsidRDefault="00F242CF" w:rsidP="007D32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1. Организатор аукциона в течение пяти рабочих дней с даты подписания протокола аукциона передает победителю аукциона проект договора аренды, подготовленный с учетом результатов аукциона. Победитель аукциона должен подписать договор аренды не ранее, чем через десять дней, но не позднее 30 дней со дня размещения на официальном сайте торгов протокола аукциона и вернуть их Организатору аукциона.</w:t>
            </w:r>
          </w:p>
          <w:p w:rsidR="00F242CF" w:rsidRPr="00A37800" w:rsidRDefault="00F242CF" w:rsidP="007D32F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2. Организатор аукциона в течение пяти рабочих дней с даты подписания протокола о рассмотрении заявок передает лицу, подавшему единственную заявку, либо лицу, признанному единственным участником аукциона проект договора аренды, подготовленный с учетом цены, заявленной участником аукциона, с которым заключается договор, на условиях документации об аукционе. Подписанный договор аренды не ранее, чем через десять дней, но не позднее 30 дней со дня размещения на официальном сайте торгов протокола о рассмотрении заявок возвращается Организатору аукциона.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589" w:type="dxa"/>
          </w:tcPr>
          <w:p w:rsidR="00F242CF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Лица, с которыми заключается </w:t>
            </w:r>
            <w:r w:rsidRPr="003A69F6">
              <w:rPr>
                <w:rFonts w:ascii="Times New Roman" w:hAnsi="Times New Roman" w:cs="Times New Roman"/>
                <w:b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условия заключения (далее – арендаторы):</w:t>
            </w:r>
          </w:p>
          <w:p w:rsidR="00F242CF" w:rsidRDefault="00F242CF" w:rsidP="007D32F8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победителем аукциона по предложенной им </w:t>
            </w:r>
            <w:r w:rsidRPr="003A69F6">
              <w:rPr>
                <w:rFonts w:ascii="Times New Roman" w:hAnsi="Times New Roman" w:cs="Times New Roman"/>
                <w:sz w:val="24"/>
                <w:szCs w:val="24"/>
              </w:rPr>
              <w:t>наибольше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цене договора;</w:t>
            </w:r>
          </w:p>
          <w:p w:rsidR="00F242CF" w:rsidRDefault="00F242CF" w:rsidP="007D32F8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- с единственным заявителем на участие в аукционе, в случае, если его заявка соответствует требованиям и условиям, предусмотренным документацией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242CF" w:rsidRDefault="00F242CF" w:rsidP="007D32F8">
            <w:pPr>
              <w:pStyle w:val="a6"/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>с единственным участником аукциона по начальной (минимальной)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(лота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F242CF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C40">
              <w:rPr>
                <w:rFonts w:ascii="Times New Roman" w:hAnsi="Times New Roman" w:cs="Times New Roman"/>
                <w:color w:val="2E74B5"/>
                <w:sz w:val="24"/>
                <w:szCs w:val="24"/>
              </w:rPr>
              <w:t xml:space="preserve"> </w:t>
            </w:r>
            <w:r w:rsidRPr="00741C40">
              <w:rPr>
                <w:rFonts w:ascii="Times New Roman" w:hAnsi="Times New Roman" w:cs="Times New Roman"/>
                <w:sz w:val="24"/>
                <w:szCs w:val="24"/>
              </w:rPr>
              <w:t xml:space="preserve">с участником аукциона, который сделал предпоследнее предложение о цене предмета аукциона,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 xml:space="preserve"> случае, если победитель аукциона уклонился от заключения договора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2CF" w:rsidRPr="004A617E" w:rsidRDefault="00F242CF" w:rsidP="007D32F8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аключение договора для единственного заявителя на участие в аукционе, единственного участника аукциона, является обязательным.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8589" w:type="dxa"/>
          </w:tcPr>
          <w:p w:rsidR="00F242CF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заключения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договора в электронной форме на официальном сайте</w:t>
            </w:r>
            <w:r w:rsidRPr="008673A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242CF" w:rsidRPr="00962E4D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Для заключения договора в электронной форме арендатор должен быть зарегистрирован на официальном сайте (ГИС Торги) в качестве участника торгов.</w:t>
            </w:r>
          </w:p>
          <w:p w:rsidR="00F242CF" w:rsidRPr="00962E4D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1. По истечении десять дней со дня размещения информации о результатах аукциона на официальном сайте Организатор аукциона формирует и размещает проект договора, п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осле чего проект договора подписывается уполномоченным сотрудником Организатора аукциона.</w:t>
            </w:r>
          </w:p>
          <w:p w:rsidR="00F242CF" w:rsidRPr="00962E4D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2.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договора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Организатор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ом</w:t>
            </w:r>
            <w:r w:rsidRPr="00962E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аукциона проект договора автоматически направляется в личный кабинет арендатора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962E4D">
              <w:rPr>
                <w:rFonts w:ascii="Times New Roman" w:hAnsi="Times New Roman" w:cs="Times New Roman"/>
                <w:sz w:val="24"/>
                <w:szCs w:val="24"/>
              </w:rPr>
              <w:t>на официальном сайте (ГИС Торги)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2CF" w:rsidRPr="00962E4D" w:rsidRDefault="00F242CF" w:rsidP="007D32F8">
            <w:pPr>
              <w:pStyle w:val="a3"/>
              <w:shd w:val="clear" w:color="auto" w:fill="FFFFFF"/>
              <w:rPr>
                <w:color w:val="143370"/>
              </w:rPr>
            </w:pPr>
            <w:r w:rsidRPr="00962E4D">
              <w:rPr>
                <w:color w:val="000000" w:themeColor="text1"/>
                <w:shd w:val="clear" w:color="auto" w:fill="FFFFFF"/>
              </w:rPr>
              <w:t>3.  П</w:t>
            </w:r>
            <w:r w:rsidRPr="00962E4D">
              <w:rPr>
                <w:color w:val="000000" w:themeColor="text1"/>
              </w:rPr>
              <w:t>осле подписания арендатором договора на официальном сайте договор считается заключенным</w:t>
            </w:r>
            <w:r w:rsidRPr="00962E4D">
              <w:rPr>
                <w:color w:val="143370"/>
              </w:rPr>
              <w:t xml:space="preserve">. </w:t>
            </w:r>
          </w:p>
          <w:p w:rsidR="00F242CF" w:rsidRPr="00AB7300" w:rsidRDefault="00F242CF" w:rsidP="007D32F8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411D39">
              <w:rPr>
                <w:rFonts w:ascii="Times New Roman" w:hAnsi="Times New Roman" w:cs="Times New Roman"/>
                <w:b/>
                <w:color w:val="000000" w:themeColor="text1"/>
              </w:rPr>
              <w:t>Срок и порядок оплаты по договору</w:t>
            </w:r>
            <w:r w:rsidRPr="00AB7300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Pr="00AB730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B7300">
              <w:rPr>
                <w:rFonts w:ascii="Times New Roman" w:hAnsi="Times New Roman" w:cs="Times New Roman"/>
              </w:rPr>
              <w:t>в соответствии с условиями, у</w:t>
            </w:r>
            <w:r>
              <w:rPr>
                <w:rFonts w:ascii="Times New Roman" w:hAnsi="Times New Roman" w:cs="Times New Roman"/>
              </w:rPr>
              <w:t xml:space="preserve">казанными </w:t>
            </w:r>
            <w:r w:rsidRPr="00AB7300">
              <w:rPr>
                <w:rFonts w:ascii="Times New Roman" w:hAnsi="Times New Roman" w:cs="Times New Roman"/>
              </w:rPr>
              <w:t>в проекте договора аренды, приложенного к извещению о проведении аукциона.</w:t>
            </w:r>
          </w:p>
          <w:p w:rsidR="00F242CF" w:rsidRPr="00411D39" w:rsidRDefault="00F242CF" w:rsidP="007D32F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>Цена заключенного договора не может быть пересмотрена сторонами в сторону уменьшения.</w:t>
            </w:r>
          </w:p>
          <w:p w:rsidR="00F242CF" w:rsidRPr="00411D39" w:rsidRDefault="00F242CF" w:rsidP="007D32F8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11D39">
              <w:rPr>
                <w:rFonts w:ascii="Times New Roman" w:hAnsi="Times New Roman" w:cs="Times New Roman"/>
                <w:color w:val="000000" w:themeColor="text1"/>
              </w:rPr>
              <w:t xml:space="preserve">В случае заключения договора аренды на новый срок в соответствии с п. 9 ч. 3.1 ст. 17.1 федерального закона от 26.07.2006 № 135-ФЗ «О Защите конкуренции» определение </w:t>
            </w:r>
            <w:r w:rsidRPr="00411D39">
              <w:rPr>
                <w:rFonts w:ascii="Times New Roman" w:hAnsi="Times New Roman" w:cs="Times New Roman"/>
                <w:color w:val="000000" w:themeColor="text1"/>
              </w:rPr>
              <w:lastRenderedPageBreak/>
              <w:t>ежемесячной арендной платы осуществляется на основании отчета независимого оценщика.</w:t>
            </w:r>
          </w:p>
          <w:p w:rsidR="00F242CF" w:rsidRPr="007453E9" w:rsidRDefault="00F242CF" w:rsidP="007D32F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3E9">
              <w:rPr>
                <w:rFonts w:ascii="Times New Roman" w:hAnsi="Times New Roman" w:cs="Times New Roman"/>
                <w:b/>
                <w:sz w:val="24"/>
                <w:szCs w:val="24"/>
              </w:rPr>
              <w:t>Передача права по договору третьим лицам не допускается.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8589" w:type="dxa"/>
          </w:tcPr>
          <w:p w:rsidR="00F242CF" w:rsidRPr="00401863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2A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исполнения договора аренды </w:t>
            </w:r>
            <w:r w:rsidRPr="002A16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(размер, срок и порядок его предоставления)</w:t>
            </w:r>
            <w:r w:rsidRPr="002A16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2A1694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8589" w:type="dxa"/>
          </w:tcPr>
          <w:p w:rsidR="00F242CF" w:rsidRPr="00B40B87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передачи прав на имущество, созданное участником аукциона в рамках исполнения договора, заключенного по результатам аукциона, и предназначенное для поставки товаров (выполнения работ, оказания услуг), поставка (выполнение, оказание) которых происходит с использованием имущества, права на которое передаются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8B42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294">
              <w:rPr>
                <w:rFonts w:ascii="Times New Roman" w:hAnsi="Times New Roman" w:cs="Times New Roman"/>
                <w:sz w:val="24"/>
                <w:szCs w:val="24"/>
              </w:rPr>
              <w:t>создание и передача такого имущества договором не предусмотрены.</w:t>
            </w:r>
          </w:p>
        </w:tc>
      </w:tr>
      <w:tr w:rsidR="00F242CF" w:rsidRPr="00CD7596" w:rsidTr="007D32F8">
        <w:tc>
          <w:tcPr>
            <w:tcW w:w="9345" w:type="dxa"/>
            <w:gridSpan w:val="2"/>
          </w:tcPr>
          <w:p w:rsidR="00F242CF" w:rsidRPr="00401863" w:rsidRDefault="00F242CF" w:rsidP="007D32F8">
            <w:pPr>
              <w:pStyle w:val="a6"/>
              <w:keepNext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>. ДОКУМЕНТАЦИЯ ОБ АУКЦИОНЕ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8589" w:type="dxa"/>
          </w:tcPr>
          <w:p w:rsidR="00F242CF" w:rsidRDefault="00F242CF" w:rsidP="007D32F8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color w:val="000000"/>
                <w:sz w:val="24"/>
              </w:rPr>
              <w:t>Документация об аукционе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размещается одновременно с размещением И</w:t>
            </w:r>
            <w:r w:rsidRPr="00DD101D">
              <w:rPr>
                <w:rFonts w:ascii="Times New Roman" w:hAnsi="Times New Roman" w:cs="Times New Roman"/>
                <w:color w:val="000000"/>
                <w:sz w:val="24"/>
              </w:rPr>
              <w:t>звещения о проведении аукциона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ведения, содержащиеся в д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аукционе, соответств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 сведениям, указанным в И</w:t>
            </w:r>
            <w:r w:rsidRPr="00AA7360">
              <w:rPr>
                <w:rFonts w:ascii="Times New Roman" w:hAnsi="Times New Roman" w:cs="Times New Roman"/>
                <w:sz w:val="24"/>
                <w:szCs w:val="24"/>
              </w:rPr>
              <w:t>звещении о проведении аукциона.</w:t>
            </w:r>
          </w:p>
          <w:p w:rsidR="00F242CF" w:rsidRPr="00A97440" w:rsidRDefault="00F242CF" w:rsidP="007D32F8">
            <w:pPr>
              <w:pStyle w:val="a6"/>
              <w:keepNext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до подачи заявки на участие в аукционе должен изучить Документацию об аукционе, включая все инструкции, формы, условия и проект договора. 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8589" w:type="dxa"/>
          </w:tcPr>
          <w:p w:rsidR="00F242CF" w:rsidRPr="00B40B87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 положений документации об аукционе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формы, 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 его предоставления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F242CF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B87">
              <w:rPr>
                <w:rFonts w:ascii="Times New Roman" w:hAnsi="Times New Roman" w:cs="Times New Roman"/>
                <w:sz w:val="24"/>
                <w:szCs w:val="24"/>
              </w:rPr>
              <w:t xml:space="preserve">Любое заинтересованное лицо вправе направить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площадки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не более чем три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апроса о разъяснении положений Д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окументации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2CF" w:rsidRPr="000C689B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Начало дачи разъяснений: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размещения на официальном сайте торгов – </w:t>
            </w:r>
            <w:hyperlink r:id="rId10" w:history="1"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torgi</w:t>
              </w:r>
              <w:proofErr w:type="spellEnd"/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0C689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 на электронной площадке – 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sale</w:t>
            </w:r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zakazrf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spellStart"/>
            <w:r w:rsidRPr="000C689B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о проведении аукциона. </w:t>
            </w:r>
          </w:p>
          <w:p w:rsidR="00F242CF" w:rsidRPr="000C689B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689B"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подачи запроса на разъяснения положений документации об аукционе:</w:t>
            </w:r>
            <w:r w:rsidRPr="000C689B">
              <w:rPr>
                <w:rFonts w:ascii="Times New Roman" w:hAnsi="Times New Roman" w:cs="Times New Roman"/>
                <w:sz w:val="24"/>
                <w:szCs w:val="24"/>
              </w:rPr>
              <w:t xml:space="preserve"> за три рабочих дня до даты окончания срока подачи заявок на участие в аукционе.</w:t>
            </w:r>
          </w:p>
          <w:p w:rsidR="00F242CF" w:rsidRPr="003E5041" w:rsidRDefault="00F242CF" w:rsidP="007D32F8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Порядок: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двух рабочих дней с даты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указанного запроса,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рганизатор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пециализированная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и размещает на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 xml:space="preserve">фициальном сайте разъяснение с указанием предмета запроса, но без указания заинтересованного лица, от которого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поступил запрос, а О</w:t>
            </w:r>
            <w:r w:rsidRPr="009502E8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 позднее одного часа размещает указанные разъяснения на электронной площадке.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CD7596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89" w:type="dxa"/>
          </w:tcPr>
          <w:p w:rsidR="00F242CF" w:rsidRPr="00A97440" w:rsidRDefault="00F242CF" w:rsidP="007D32F8">
            <w:pPr>
              <w:pStyle w:val="ConsPlusNormal"/>
              <w:keepNext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74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Внесение изменений в документацию об аукционе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порядок и </w:t>
            </w:r>
            <w:r w:rsidRPr="00B40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):</w:t>
            </w:r>
          </w:p>
          <w:p w:rsidR="00F242CF" w:rsidRDefault="00F242CF" w:rsidP="007D32F8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C93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 по собственной инициативе или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с запросом заинтересованного лица вправе принять решение о внесении изменений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br/>
              <w:t>в Документацию об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 xml:space="preserve">и этом изменение предмета аукциона не допускается. </w:t>
            </w:r>
          </w:p>
          <w:p w:rsidR="00F242CF" w:rsidRPr="00E85389" w:rsidRDefault="00F242CF" w:rsidP="007D32F8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внесения изменений: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течение срока приема заявок, но </w:t>
            </w:r>
            <w:r w:rsidRPr="00E85389">
              <w:rPr>
                <w:rFonts w:ascii="Times New Roman" w:hAnsi="Times New Roman" w:cs="Times New Roman"/>
                <w:sz w:val="24"/>
                <w:szCs w:val="24"/>
              </w:rPr>
              <w:t>не позднее чем за пять дней до даты окончания подачи заявок на участие в аукционе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42CF" w:rsidRPr="00FD038F" w:rsidRDefault="00F242CF" w:rsidP="007D32F8">
            <w:pPr>
              <w:pStyle w:val="ConsPlusNormal"/>
              <w:keepNext/>
              <w:widowControl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</w:rPr>
              <w:t xml:space="preserve">Порядок: </w:t>
            </w:r>
            <w:proofErr w:type="gramStart"/>
            <w:r w:rsidRPr="00A15FAE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A15FAE">
              <w:rPr>
                <w:rFonts w:ascii="Times New Roman" w:hAnsi="Times New Roman" w:cs="Times New Roman"/>
                <w:sz w:val="24"/>
              </w:rPr>
              <w:t xml:space="preserve"> течение одного дня с даты принятия решения</w:t>
            </w:r>
            <w:r>
              <w:rPr>
                <w:rFonts w:ascii="Times New Roman" w:hAnsi="Times New Roman" w:cs="Times New Roman"/>
                <w:sz w:val="24"/>
              </w:rPr>
              <w:t xml:space="preserve"> о внесении изменений в документацию об аукционе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 соответствующие изменения размещаются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A15FAE">
              <w:rPr>
                <w:rFonts w:ascii="Times New Roman" w:hAnsi="Times New Roman" w:cs="Times New Roman"/>
                <w:sz w:val="24"/>
              </w:rPr>
              <w:t>ом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аукциона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Специализированн</w:t>
            </w:r>
            <w:r w:rsidRPr="00A15FAE">
              <w:rPr>
                <w:rFonts w:ascii="Times New Roman" w:hAnsi="Times New Roman" w:cs="Times New Roman"/>
                <w:sz w:val="24"/>
              </w:rPr>
              <w:t>ой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 w:rsidRPr="00A15FAE">
              <w:rPr>
                <w:rFonts w:ascii="Times New Roman" w:hAnsi="Times New Roman" w:cs="Times New Roman"/>
                <w:sz w:val="24"/>
              </w:rPr>
              <w:t>ей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фициальном сайте</w:t>
            </w:r>
            <w:r w:rsidRPr="00A15FAE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5FAE">
              <w:rPr>
                <w:rFonts w:ascii="Times New Roman" w:hAnsi="Times New Roman" w:cs="Times New Roman"/>
                <w:sz w:val="24"/>
                <w:szCs w:val="24"/>
              </w:rPr>
              <w:t>ператор электронной площадки не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 позднее одного часа размещает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соответствующие изменения </w:t>
            </w:r>
            <w:r w:rsidRPr="00E813BC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электронной площадке. </w:t>
            </w:r>
          </w:p>
        </w:tc>
      </w:tr>
      <w:tr w:rsidR="00F242CF" w:rsidRPr="00CD7596" w:rsidTr="007D32F8">
        <w:tc>
          <w:tcPr>
            <w:tcW w:w="9345" w:type="dxa"/>
            <w:gridSpan w:val="2"/>
          </w:tcPr>
          <w:p w:rsidR="00F242CF" w:rsidRPr="00991F71" w:rsidRDefault="00F242CF" w:rsidP="007D32F8">
            <w:pPr>
              <w:keepNext/>
              <w:ind w:left="-31"/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V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91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</w:t>
            </w:r>
          </w:p>
        </w:tc>
      </w:tr>
      <w:tr w:rsidR="00F242CF" w:rsidRPr="00CD7596" w:rsidTr="007D32F8">
        <w:tc>
          <w:tcPr>
            <w:tcW w:w="756" w:type="dxa"/>
          </w:tcPr>
          <w:p w:rsidR="00F242CF" w:rsidRPr="00991F71" w:rsidRDefault="00F242CF" w:rsidP="007D32F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89" w:type="dxa"/>
          </w:tcPr>
          <w:p w:rsidR="00F242CF" w:rsidRPr="00FD038F" w:rsidRDefault="00F242CF" w:rsidP="007D32F8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информация:</w:t>
            </w:r>
          </w:p>
          <w:p w:rsidR="00F242CF" w:rsidRPr="00FD038F" w:rsidRDefault="00F242CF" w:rsidP="007D32F8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D03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Условия аукциона, порядок и условия заключения договора с участником аукциона являются условиями публичной оферты, а подача заявки на участие в аукционе является акцептом такой оферты.</w:t>
            </w:r>
          </w:p>
          <w:p w:rsidR="00F242CF" w:rsidRPr="00FD038F" w:rsidRDefault="00F242CF" w:rsidP="007D32F8">
            <w:pPr>
              <w:keepNext/>
              <w:keepLines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2. Документооборот между Заявителями, Участниками торгов, Организатором аукциона</w:t>
            </w:r>
            <w:r w:rsidRPr="00991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и Специализированной организацией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Заявителя, Участника.</w:t>
            </w:r>
          </w:p>
          <w:p w:rsidR="00F242CF" w:rsidRPr="00FD038F" w:rsidRDefault="00F242CF" w:rsidP="007D32F8">
            <w:pPr>
              <w:keepNext/>
              <w:ind w:left="-31"/>
              <w:contextualSpacing/>
              <w:mirrorIndent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3. Время создания, получения и отправки электронных документов на электронной площадке соответствует местному времени, в котором функционирует электронная площадка.</w:t>
            </w:r>
          </w:p>
          <w:p w:rsidR="00F242CF" w:rsidRPr="00FD038F" w:rsidRDefault="00F242CF" w:rsidP="007D32F8">
            <w:pPr>
              <w:pStyle w:val="a6"/>
              <w:keepNext/>
              <w:contextualSpacing/>
              <w:mirrorIndent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38F">
              <w:rPr>
                <w:rFonts w:ascii="Times New Roman" w:hAnsi="Times New Roman" w:cs="Times New Roman"/>
                <w:sz w:val="24"/>
                <w:szCs w:val="24"/>
              </w:rPr>
              <w:t>4. Электронная площадка функционирует круглосуточно.</w:t>
            </w:r>
          </w:p>
        </w:tc>
      </w:tr>
    </w:tbl>
    <w:p w:rsidR="00091461" w:rsidRDefault="00091461"/>
    <w:sectPr w:rsidR="00091461" w:rsidSect="00F242C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FD4"/>
    <w:rsid w:val="00091461"/>
    <w:rsid w:val="00224538"/>
    <w:rsid w:val="00D166B3"/>
    <w:rsid w:val="00F242CF"/>
    <w:rsid w:val="00F4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B366"/>
  <w15:chartTrackingRefBased/>
  <w15:docId w15:val="{00AB19E2-7904-4487-AD7C-F5AE56FD7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2C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F242CF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F242C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F242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F242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242C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42C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No Spacing"/>
    <w:link w:val="a9"/>
    <w:qFormat/>
    <w:rsid w:val="00F242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locked/>
    <w:rsid w:val="00F242C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le.zakazrf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e.zakazrf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izo.adm@mail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http://sale.zakazrf.ru/" TargetMode="External"/><Relationship Id="rId9" Type="http://schemas.openxmlformats.org/officeDocument/2006/relationships/hyperlink" Target="https://torgi.gov.ru/new/publ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3549</Words>
  <Characters>20230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2024-05-07T08:42:00Z</dcterms:created>
  <dcterms:modified xsi:type="dcterms:W3CDTF">2024-05-08T12:02:00Z</dcterms:modified>
</cp:coreProperties>
</file>