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A9A" w:rsidRDefault="00F67A9A" w:rsidP="00F67A9A">
      <w:pPr>
        <w:pBdr>
          <w:bottom w:val="single" w:sz="12" w:space="0" w:color="auto"/>
        </w:pBdr>
        <w:tabs>
          <w:tab w:val="left" w:pos="284"/>
        </w:tabs>
        <w:jc w:val="center"/>
        <w:rPr>
          <w:b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577985" cy="720000"/>
            <wp:effectExtent l="0" t="0" r="0" b="4445"/>
            <wp:docPr id="5" name="Рисунок 1" descr="Ак-ДовуракГО-ПП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к-ДовуракГО-ПП_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985" cy="72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67A9A" w:rsidRPr="00001C01" w:rsidRDefault="00F67A9A" w:rsidP="00F67A9A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01C01">
        <w:rPr>
          <w:rFonts w:ascii="Times New Roman" w:hAnsi="Times New Roman" w:cs="Times New Roman"/>
          <w:b/>
        </w:rPr>
        <w:t>ХУРАЛ ПРЕДСТАВИТЕЛЕЙ ГОРОДА АК-ДОВУРАК РЕСПУБЛИКИ ТЫВА</w:t>
      </w:r>
    </w:p>
    <w:p w:rsidR="00F67A9A" w:rsidRPr="00001C01" w:rsidRDefault="00F67A9A" w:rsidP="00F67A9A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001C01">
        <w:rPr>
          <w:rFonts w:ascii="Times New Roman" w:hAnsi="Times New Roman" w:cs="Times New Roman"/>
          <w:b/>
        </w:rPr>
        <w:t>ТЫВА РЕСПУБЛИКАНЫН АК-ДОВУРАК ХООРАЙНЫН ТОЛЭЭЛЕКЧИЛЕР ХУРАЛЫ</w:t>
      </w:r>
    </w:p>
    <w:p w:rsidR="00F67A9A" w:rsidRPr="00001C01" w:rsidRDefault="00F67A9A" w:rsidP="00F67A9A">
      <w:pPr>
        <w:spacing w:after="0" w:line="240" w:lineRule="auto"/>
        <w:ind w:left="-426"/>
        <w:rPr>
          <w:rFonts w:ascii="Times New Roman" w:hAnsi="Times New Roman" w:cs="Times New Roman"/>
        </w:rPr>
      </w:pPr>
      <w:r w:rsidRPr="00001C01">
        <w:rPr>
          <w:rFonts w:ascii="Times New Roman" w:hAnsi="Times New Roman" w:cs="Times New Roman"/>
        </w:rPr>
        <w:t xml:space="preserve">668051, </w:t>
      </w:r>
      <w:proofErr w:type="spellStart"/>
      <w:r w:rsidRPr="00001C01">
        <w:rPr>
          <w:rFonts w:ascii="Times New Roman" w:hAnsi="Times New Roman" w:cs="Times New Roman"/>
        </w:rPr>
        <w:t>г</w:t>
      </w:r>
      <w:proofErr w:type="gramStart"/>
      <w:r w:rsidRPr="00001C01">
        <w:rPr>
          <w:rFonts w:ascii="Times New Roman" w:hAnsi="Times New Roman" w:cs="Times New Roman"/>
        </w:rPr>
        <w:t>.А</w:t>
      </w:r>
      <w:proofErr w:type="gramEnd"/>
      <w:r w:rsidRPr="00001C01">
        <w:rPr>
          <w:rFonts w:ascii="Times New Roman" w:hAnsi="Times New Roman" w:cs="Times New Roman"/>
        </w:rPr>
        <w:t>к-Довурак,ул.Комсомольская</w:t>
      </w:r>
      <w:proofErr w:type="spellEnd"/>
      <w:r w:rsidRPr="00001C01">
        <w:rPr>
          <w:rFonts w:ascii="Times New Roman" w:hAnsi="Times New Roman" w:cs="Times New Roman"/>
        </w:rPr>
        <w:t>, 3а, телефон/факс: 8(39433) 2 -11-36,</w:t>
      </w:r>
      <w:hyperlink r:id="rId7" w:history="1">
        <w:r w:rsidRPr="00001C01">
          <w:rPr>
            <w:rStyle w:val="a4"/>
            <w:rFonts w:ascii="Times New Roman" w:hAnsi="Times New Roman" w:cs="Times New Roman"/>
            <w:shd w:val="clear" w:color="auto" w:fill="F7F7F7"/>
          </w:rPr>
          <w:t>ak-dovurak.hural@mail.ru</w:t>
        </w:r>
      </w:hyperlink>
    </w:p>
    <w:p w:rsidR="00F67A9A" w:rsidRDefault="00F67A9A" w:rsidP="00F67A9A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rPr>
          <w:rFonts w:ascii="Times New Roman" w:hAnsi="Times New Roman" w:cs="Times New Roman"/>
          <w:b/>
          <w:sz w:val="28"/>
          <w:szCs w:val="28"/>
        </w:rPr>
      </w:pPr>
    </w:p>
    <w:p w:rsidR="008263E6" w:rsidRDefault="00F67A9A" w:rsidP="008263E6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 </w:t>
      </w:r>
    </w:p>
    <w:p w:rsidR="008263E6" w:rsidRDefault="008263E6" w:rsidP="008263E6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Е Ш Е Н И Е</w:t>
      </w:r>
    </w:p>
    <w:p w:rsidR="008263E6" w:rsidRDefault="008263E6" w:rsidP="008263E6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ШИИТПИР</w:t>
      </w:r>
    </w:p>
    <w:p w:rsidR="00F67A9A" w:rsidRPr="00335473" w:rsidRDefault="00F67A9A" w:rsidP="008263E6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rPr>
          <w:rFonts w:ascii="Times New Roman" w:hAnsi="Times New Roman" w:cs="Times New Roman"/>
          <w:b/>
          <w:sz w:val="28"/>
          <w:szCs w:val="28"/>
        </w:rPr>
      </w:pPr>
    </w:p>
    <w:p w:rsidR="00F67A9A" w:rsidRDefault="00F67A9A" w:rsidP="00F67A9A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7A9A" w:rsidRDefault="006D7BDA" w:rsidP="00F67A9A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.А</w:t>
      </w:r>
      <w:proofErr w:type="gramEnd"/>
      <w:r>
        <w:rPr>
          <w:rFonts w:ascii="Times New Roman" w:hAnsi="Times New Roman" w:cs="Times New Roman"/>
          <w:sz w:val="28"/>
          <w:szCs w:val="28"/>
        </w:rPr>
        <w:t>к-Довурак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22</w:t>
      </w:r>
      <w:r w:rsidR="00F67A9A">
        <w:rPr>
          <w:rFonts w:ascii="Times New Roman" w:hAnsi="Times New Roman" w:cs="Times New Roman"/>
          <w:sz w:val="28"/>
          <w:szCs w:val="28"/>
        </w:rPr>
        <w:t xml:space="preserve">                              «</w:t>
      </w:r>
      <w:r w:rsidR="00696C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696CFA">
        <w:rPr>
          <w:rFonts w:ascii="Times New Roman" w:hAnsi="Times New Roman" w:cs="Times New Roman"/>
          <w:sz w:val="28"/>
          <w:szCs w:val="28"/>
        </w:rPr>
        <w:t xml:space="preserve"> </w:t>
      </w:r>
      <w:r w:rsidR="00F67A9A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июня</w:t>
      </w:r>
      <w:r w:rsidR="00F67A9A">
        <w:rPr>
          <w:rFonts w:ascii="Times New Roman" w:hAnsi="Times New Roman" w:cs="Times New Roman"/>
          <w:sz w:val="28"/>
          <w:szCs w:val="28"/>
        </w:rPr>
        <w:t xml:space="preserve"> 202</w:t>
      </w:r>
      <w:r w:rsidR="00B95B9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7A9A">
        <w:rPr>
          <w:rFonts w:ascii="Times New Roman" w:hAnsi="Times New Roman" w:cs="Times New Roman"/>
          <w:sz w:val="28"/>
          <w:szCs w:val="28"/>
        </w:rPr>
        <w:t>г</w:t>
      </w:r>
    </w:p>
    <w:p w:rsidR="00335473" w:rsidRPr="00B95B9B" w:rsidRDefault="00335473" w:rsidP="00B95B9B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B2724" w:rsidRDefault="006675C9" w:rsidP="00823840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675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5B9B" w:rsidRPr="00EF1A01" w:rsidRDefault="006675C9" w:rsidP="00B95B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E0E">
        <w:rPr>
          <w:rFonts w:ascii="Times New Roman" w:hAnsi="Times New Roman" w:cs="Times New Roman"/>
          <w:sz w:val="24"/>
          <w:szCs w:val="24"/>
        </w:rPr>
        <w:t xml:space="preserve">         </w:t>
      </w:r>
      <w:r w:rsidR="00823840" w:rsidRPr="00954E0E">
        <w:rPr>
          <w:rFonts w:ascii="Times New Roman" w:hAnsi="Times New Roman" w:cs="Times New Roman"/>
          <w:sz w:val="24"/>
          <w:szCs w:val="24"/>
        </w:rPr>
        <w:t xml:space="preserve"> </w:t>
      </w:r>
      <w:r w:rsidR="00B95B9B" w:rsidRPr="00EF1A01">
        <w:rPr>
          <w:rFonts w:ascii="Times New Roman" w:hAnsi="Times New Roman" w:cs="Times New Roman"/>
          <w:b/>
          <w:sz w:val="28"/>
          <w:szCs w:val="28"/>
        </w:rPr>
        <w:t>О Контрольно-счетной палате городского округа</w:t>
      </w:r>
    </w:p>
    <w:p w:rsidR="00B95B9B" w:rsidRPr="00EF1A01" w:rsidRDefault="00B95B9B" w:rsidP="00B95B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A01">
        <w:rPr>
          <w:rFonts w:ascii="Times New Roman" w:hAnsi="Times New Roman" w:cs="Times New Roman"/>
          <w:b/>
          <w:sz w:val="28"/>
          <w:szCs w:val="28"/>
        </w:rPr>
        <w:t>города Ак-Довурак Республики Тыва</w:t>
      </w:r>
    </w:p>
    <w:p w:rsidR="00B95B9B" w:rsidRDefault="00B95B9B" w:rsidP="00B95B9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95B9B" w:rsidRDefault="00B95B9B" w:rsidP="00B95B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Руководствуясь Федеральными законами от 06 октября 2003 года № 131-ФЗ «Об общих принципах организации местного самоуправления в Российской Федерации», от 07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070D40">
        <w:rPr>
          <w:rFonts w:ascii="Times New Roman" w:hAnsi="Times New Roman" w:cs="Times New Roman"/>
          <w:sz w:val="28"/>
          <w:szCs w:val="28"/>
        </w:rPr>
        <w:t>Бюджетным кодексом Российской Федерации, Законом</w:t>
      </w:r>
      <w:r>
        <w:rPr>
          <w:rFonts w:ascii="Times New Roman" w:hAnsi="Times New Roman" w:cs="Times New Roman"/>
          <w:sz w:val="28"/>
          <w:szCs w:val="28"/>
        </w:rPr>
        <w:t xml:space="preserve"> Республики Тыва от 11 ноября 2011 года № 949-ВХ-1 «О регулировании отдельных вопросов организации и деятельности контрольно-счетных органов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муниципальных образований Республики Тыва», Уставом городского округа</w:t>
      </w:r>
      <w:r w:rsidR="00070D40">
        <w:rPr>
          <w:rFonts w:ascii="Times New Roman" w:hAnsi="Times New Roman" w:cs="Times New Roman"/>
          <w:sz w:val="28"/>
          <w:szCs w:val="28"/>
        </w:rPr>
        <w:t xml:space="preserve"> города Ак-Довурак</w:t>
      </w:r>
      <w:r>
        <w:rPr>
          <w:rFonts w:ascii="Times New Roman" w:hAnsi="Times New Roman" w:cs="Times New Roman"/>
          <w:sz w:val="28"/>
          <w:szCs w:val="28"/>
        </w:rPr>
        <w:t>, для определения правового положения, порядка создания деятельности и основных полномочий Контрольно-счетно</w:t>
      </w:r>
      <w:r w:rsidR="008235ED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0D40">
        <w:rPr>
          <w:rFonts w:ascii="Times New Roman" w:hAnsi="Times New Roman" w:cs="Times New Roman"/>
          <w:sz w:val="28"/>
          <w:szCs w:val="28"/>
        </w:rPr>
        <w:t>органа</w:t>
      </w:r>
      <w:r>
        <w:rPr>
          <w:rFonts w:ascii="Times New Roman" w:hAnsi="Times New Roman" w:cs="Times New Roman"/>
          <w:sz w:val="28"/>
          <w:szCs w:val="28"/>
        </w:rPr>
        <w:t xml:space="preserve"> городского округа города Ак-Довурак, Хурал представителей города Ак-Довурак </w:t>
      </w:r>
      <w:r w:rsidRPr="00224737">
        <w:rPr>
          <w:rFonts w:ascii="Times New Roman" w:hAnsi="Times New Roman" w:cs="Times New Roman"/>
          <w:b/>
          <w:sz w:val="28"/>
          <w:szCs w:val="28"/>
        </w:rPr>
        <w:t>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95B9B" w:rsidRDefault="00B95B9B" w:rsidP="00B95B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</w:t>
      </w:r>
      <w:r w:rsidR="005565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Контрольно-счетный орган городского округа города Ак-Довурак переименовать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палата городского округа города Ак-Довурак;</w:t>
      </w:r>
    </w:p>
    <w:p w:rsidR="00B95B9B" w:rsidRDefault="00B95B9B" w:rsidP="00B95B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</w:t>
      </w:r>
      <w:r w:rsidR="005565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Контрольно-счетную палату города Ак-Довурак учредить с правами юридического лица в форме муниципального казенного учреждения.</w:t>
      </w:r>
    </w:p>
    <w:p w:rsidR="00B95B9B" w:rsidRDefault="00B95B9B" w:rsidP="00B95B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Полное наименование: Контрольно-счетная палата городского округа города Ак-Довурак.</w:t>
      </w:r>
    </w:p>
    <w:p w:rsidR="00B95B9B" w:rsidRDefault="00B95B9B" w:rsidP="00B95B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Сокращенное наименование: </w:t>
      </w:r>
      <w:r w:rsidR="00F821EB">
        <w:rPr>
          <w:rFonts w:ascii="Times New Roman" w:hAnsi="Times New Roman" w:cs="Times New Roman"/>
          <w:sz w:val="28"/>
          <w:szCs w:val="28"/>
        </w:rPr>
        <w:t xml:space="preserve">КСП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F821E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Ак-Довурак.</w:t>
      </w:r>
    </w:p>
    <w:p w:rsidR="00B95B9B" w:rsidRDefault="00B95B9B" w:rsidP="00B95B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</w:t>
      </w:r>
      <w:r w:rsidR="005565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Утвердить Положение о Контрольно-счетной палате городского округа города Ак-Довурак согласно приложению к настоящему решению.</w:t>
      </w:r>
    </w:p>
    <w:p w:rsidR="006A6A49" w:rsidRDefault="006A6A49" w:rsidP="006A6A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565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Признать утратившим силу решение Хурала представителей городского округа города Ак-Довурак </w:t>
      </w:r>
      <w:r w:rsidRPr="00A556E0">
        <w:rPr>
          <w:rFonts w:ascii="Times New Roman" w:hAnsi="Times New Roman" w:cs="Times New Roman"/>
          <w:sz w:val="28"/>
          <w:szCs w:val="28"/>
        </w:rPr>
        <w:t>от «28» февраля 2022 г. №6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Положения о контрольно-счетном органе городского округа города Ак-Довурак Республики Тыва».</w:t>
      </w:r>
    </w:p>
    <w:p w:rsidR="00B95B9B" w:rsidRDefault="00B95B9B" w:rsidP="00B95B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6A6A4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5565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Установить официальный адрес создаваемого юридического лица - Контрольно-счетная палата городского округа города Ак-Довурак: 668051, Российская Федерация, город Ак-Довурак, ул. Комсомольская д. 3а, этаж 3, </w:t>
      </w:r>
      <w:r w:rsidRPr="00D32704">
        <w:rPr>
          <w:rFonts w:ascii="Times New Roman" w:hAnsi="Times New Roman" w:cs="Times New Roman"/>
          <w:sz w:val="28"/>
          <w:szCs w:val="28"/>
        </w:rPr>
        <w:t>кабинет</w:t>
      </w:r>
      <w:r w:rsidR="005C7FDA">
        <w:rPr>
          <w:rFonts w:ascii="Times New Roman" w:hAnsi="Times New Roman" w:cs="Times New Roman"/>
          <w:sz w:val="28"/>
          <w:szCs w:val="28"/>
        </w:rPr>
        <w:t>ы</w:t>
      </w:r>
      <w:r w:rsidRPr="00D32704">
        <w:rPr>
          <w:rFonts w:ascii="Times New Roman" w:hAnsi="Times New Roman" w:cs="Times New Roman"/>
          <w:sz w:val="28"/>
          <w:szCs w:val="28"/>
        </w:rPr>
        <w:t xml:space="preserve"> 3</w:t>
      </w:r>
      <w:r w:rsidR="00AA43B4">
        <w:rPr>
          <w:rFonts w:ascii="Times New Roman" w:hAnsi="Times New Roman" w:cs="Times New Roman"/>
          <w:sz w:val="28"/>
          <w:szCs w:val="28"/>
        </w:rPr>
        <w:t>12</w:t>
      </w:r>
      <w:r w:rsidR="001E7059">
        <w:rPr>
          <w:rFonts w:ascii="Times New Roman" w:hAnsi="Times New Roman" w:cs="Times New Roman"/>
          <w:sz w:val="28"/>
          <w:szCs w:val="28"/>
        </w:rPr>
        <w:t>.</w:t>
      </w:r>
    </w:p>
    <w:p w:rsidR="009E5D56" w:rsidRDefault="00B95B9B" w:rsidP="00E551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551E9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</w:t>
      </w:r>
      <w:r w:rsidR="005565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D93AD2">
        <w:rPr>
          <w:rFonts w:ascii="Times New Roman" w:eastAsia="Times New Roman" w:hAnsi="Times New Roman" w:cs="Times New Roman"/>
          <w:color w:val="000000"/>
          <w:sz w:val="28"/>
          <w:szCs w:val="28"/>
        </w:rPr>
        <w:t>аделить полномочиями выступить</w:t>
      </w:r>
      <w:proofErr w:type="gramEnd"/>
      <w:r w:rsidRPr="00D93A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заявителем при государственной регистрации Контрольно-счетной палаты </w:t>
      </w:r>
      <w:r>
        <w:rPr>
          <w:rFonts w:ascii="Times New Roman" w:hAnsi="Times New Roman" w:cs="Times New Roman"/>
          <w:sz w:val="28"/>
          <w:szCs w:val="28"/>
        </w:rPr>
        <w:t>городского округа города Ак-Довурак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Сарыглар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Надежду Борисовну</w:t>
      </w:r>
      <w:r w:rsidRPr="00D93A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председателя Контрольно-счетной палаты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города Ак-Довурак</w:t>
      </w:r>
      <w:r w:rsidRPr="00D93AD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5B9B" w:rsidRDefault="00B95B9B" w:rsidP="00B95B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551E9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  <w:r w:rsidR="005565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опубликования на территории городского округа города Ак-Довурак Республики Тыва.</w:t>
      </w:r>
    </w:p>
    <w:p w:rsidR="00B95B9B" w:rsidRDefault="00E551E9" w:rsidP="00B95B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8</w:t>
      </w:r>
      <w:r w:rsidR="00B95B9B">
        <w:rPr>
          <w:rFonts w:ascii="Times New Roman" w:hAnsi="Times New Roman" w:cs="Times New Roman"/>
          <w:sz w:val="28"/>
          <w:szCs w:val="28"/>
        </w:rPr>
        <w:t>.</w:t>
      </w:r>
      <w:r w:rsidR="005565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95B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95B9B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возлагается на Главу-председателя Хурала представителей городского округа города Ак-Довурак Республики Тыва </w:t>
      </w:r>
      <w:proofErr w:type="spellStart"/>
      <w:r w:rsidR="00B95B9B">
        <w:rPr>
          <w:rFonts w:ascii="Times New Roman" w:hAnsi="Times New Roman" w:cs="Times New Roman"/>
          <w:sz w:val="28"/>
          <w:szCs w:val="28"/>
        </w:rPr>
        <w:t>Саая</w:t>
      </w:r>
      <w:proofErr w:type="spellEnd"/>
      <w:r w:rsidR="00B95B9B">
        <w:rPr>
          <w:rFonts w:ascii="Times New Roman" w:hAnsi="Times New Roman" w:cs="Times New Roman"/>
          <w:sz w:val="28"/>
          <w:szCs w:val="28"/>
        </w:rPr>
        <w:t xml:space="preserve"> Р.В.</w:t>
      </w:r>
    </w:p>
    <w:p w:rsidR="006675C9" w:rsidRPr="002F25F1" w:rsidRDefault="006675C9" w:rsidP="001E7059">
      <w:pPr>
        <w:pStyle w:val="a3"/>
        <w:tabs>
          <w:tab w:val="left" w:pos="709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675C9" w:rsidRPr="002F25F1" w:rsidRDefault="006675C9" w:rsidP="006675C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675C9" w:rsidRPr="008263E6" w:rsidRDefault="006675C9" w:rsidP="006675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63E6">
        <w:rPr>
          <w:rFonts w:ascii="Times New Roman" w:hAnsi="Times New Roman" w:cs="Times New Roman"/>
          <w:sz w:val="28"/>
          <w:szCs w:val="28"/>
        </w:rPr>
        <w:t>Глава городского округа –</w:t>
      </w:r>
    </w:p>
    <w:p w:rsidR="006675C9" w:rsidRPr="008263E6" w:rsidRDefault="006675C9" w:rsidP="006675C9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73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263E6">
        <w:rPr>
          <w:rFonts w:ascii="Times New Roman" w:hAnsi="Times New Roman" w:cs="Times New Roman"/>
          <w:sz w:val="28"/>
          <w:szCs w:val="28"/>
        </w:rPr>
        <w:t>председатель Хурала представителей</w:t>
      </w:r>
    </w:p>
    <w:p w:rsidR="00D60F70" w:rsidRDefault="006675C9" w:rsidP="006675C9">
      <w:pPr>
        <w:rPr>
          <w:rFonts w:ascii="Times New Roman" w:hAnsi="Times New Roman" w:cs="Times New Roman"/>
          <w:sz w:val="28"/>
          <w:szCs w:val="28"/>
        </w:rPr>
      </w:pPr>
      <w:r w:rsidRPr="008263E6">
        <w:rPr>
          <w:rFonts w:ascii="Times New Roman" w:hAnsi="Times New Roman" w:cs="Times New Roman"/>
          <w:sz w:val="28"/>
          <w:szCs w:val="28"/>
        </w:rPr>
        <w:t>г. Ак-Довурак Республики Тыва</w:t>
      </w:r>
      <w:r w:rsidRPr="008263E6">
        <w:rPr>
          <w:rFonts w:ascii="Times New Roman" w:hAnsi="Times New Roman" w:cs="Times New Roman"/>
          <w:sz w:val="28"/>
          <w:szCs w:val="28"/>
        </w:rPr>
        <w:tab/>
      </w:r>
      <w:r w:rsidRPr="002F25F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8263E6">
        <w:rPr>
          <w:rFonts w:ascii="Times New Roman" w:hAnsi="Times New Roman" w:cs="Times New Roman"/>
          <w:sz w:val="24"/>
          <w:szCs w:val="24"/>
        </w:rPr>
        <w:tab/>
      </w:r>
      <w:r w:rsidR="00D60F70">
        <w:rPr>
          <w:rFonts w:ascii="Times New Roman" w:hAnsi="Times New Roman" w:cs="Times New Roman"/>
          <w:sz w:val="24"/>
          <w:szCs w:val="24"/>
        </w:rPr>
        <w:t xml:space="preserve">          </w:t>
      </w:r>
      <w:r w:rsidR="008263E6" w:rsidRPr="008263E6">
        <w:rPr>
          <w:rFonts w:ascii="Times New Roman" w:hAnsi="Times New Roman" w:cs="Times New Roman"/>
          <w:sz w:val="28"/>
          <w:szCs w:val="28"/>
        </w:rPr>
        <w:t xml:space="preserve">    </w:t>
      </w:r>
      <w:r w:rsidRPr="008263E6">
        <w:rPr>
          <w:rFonts w:ascii="Times New Roman" w:hAnsi="Times New Roman" w:cs="Times New Roman"/>
          <w:sz w:val="28"/>
          <w:szCs w:val="28"/>
        </w:rPr>
        <w:t>Р.В. Саая.</w:t>
      </w:r>
      <w:r w:rsidRPr="008263E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6675C9">
      <w:pPr>
        <w:rPr>
          <w:rFonts w:ascii="Times New Roman" w:hAnsi="Times New Roman" w:cs="Times New Roman"/>
          <w:sz w:val="28"/>
          <w:szCs w:val="28"/>
        </w:rPr>
      </w:pPr>
    </w:p>
    <w:p w:rsidR="001E7059" w:rsidRDefault="001E7059" w:rsidP="006675C9">
      <w:pPr>
        <w:rPr>
          <w:rFonts w:ascii="Times New Roman" w:hAnsi="Times New Roman" w:cs="Times New Roman"/>
          <w:sz w:val="28"/>
          <w:szCs w:val="28"/>
        </w:rPr>
      </w:pPr>
    </w:p>
    <w:p w:rsidR="00D60F70" w:rsidRDefault="00D60F70" w:rsidP="00D60F70">
      <w:pPr>
        <w:spacing w:after="0" w:line="240" w:lineRule="auto"/>
        <w:ind w:left="6379" w:hanging="1134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lastRenderedPageBreak/>
        <w:t>УТВЕРЖДЕНО</w:t>
      </w:r>
    </w:p>
    <w:p w:rsidR="00D60F70" w:rsidRPr="00FE77B6" w:rsidRDefault="00D60F70" w:rsidP="00D60F70">
      <w:pPr>
        <w:spacing w:after="0" w:line="240" w:lineRule="auto"/>
        <w:ind w:left="6379" w:hanging="1134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FE77B6">
        <w:rPr>
          <w:rFonts w:ascii="Times New Roman" w:eastAsia="Times New Roman" w:hAnsi="Times New Roman" w:cs="Times New Roman"/>
          <w:color w:val="04092A"/>
          <w:sz w:val="24"/>
          <w:szCs w:val="24"/>
        </w:rPr>
        <w:t>Решением Хурала представителей</w:t>
      </w:r>
    </w:p>
    <w:p w:rsidR="00D60F70" w:rsidRDefault="00D60F70" w:rsidP="00D60F70">
      <w:pPr>
        <w:spacing w:after="0" w:line="240" w:lineRule="auto"/>
        <w:ind w:left="6379" w:hanging="1134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  <w:u w:val="single"/>
        </w:rPr>
        <w:t xml:space="preserve">городского округа </w:t>
      </w:r>
      <w:r w:rsidRPr="00CB4933">
        <w:rPr>
          <w:rFonts w:ascii="Times New Roman" w:eastAsia="Times New Roman" w:hAnsi="Times New Roman" w:cs="Times New Roman"/>
          <w:color w:val="04092A"/>
          <w:sz w:val="24"/>
          <w:szCs w:val="24"/>
          <w:u w:val="single"/>
        </w:rPr>
        <w:t>г</w:t>
      </w:r>
      <w:proofErr w:type="gramStart"/>
      <w:r w:rsidRPr="00CB4933">
        <w:rPr>
          <w:rFonts w:ascii="Times New Roman" w:eastAsia="Times New Roman" w:hAnsi="Times New Roman" w:cs="Times New Roman"/>
          <w:color w:val="04092A"/>
          <w:sz w:val="24"/>
          <w:szCs w:val="24"/>
          <w:u w:val="single"/>
        </w:rPr>
        <w:t>.А</w:t>
      </w:r>
      <w:proofErr w:type="gramEnd"/>
      <w:r w:rsidRPr="00CB4933">
        <w:rPr>
          <w:rFonts w:ascii="Times New Roman" w:eastAsia="Times New Roman" w:hAnsi="Times New Roman" w:cs="Times New Roman"/>
          <w:color w:val="04092A"/>
          <w:sz w:val="24"/>
          <w:szCs w:val="24"/>
          <w:u w:val="single"/>
        </w:rPr>
        <w:t>к-Довурак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 </w:t>
      </w:r>
    </w:p>
    <w:p w:rsidR="00D60F70" w:rsidRPr="00FE77B6" w:rsidRDefault="00D60F70" w:rsidP="00D60F70">
      <w:pPr>
        <w:spacing w:after="0" w:line="240" w:lineRule="auto"/>
        <w:ind w:left="6379" w:hanging="1134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FE77B6">
        <w:rPr>
          <w:rFonts w:ascii="Times New Roman" w:eastAsia="Times New Roman" w:hAnsi="Times New Roman" w:cs="Times New Roman"/>
          <w:color w:val="04092A"/>
          <w:sz w:val="24"/>
          <w:szCs w:val="24"/>
        </w:rPr>
        <w:t>от «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20</w:t>
      </w:r>
      <w:r>
        <w:rPr>
          <w:rFonts w:ascii="Times New Roman" w:eastAsia="Times New Roman" w:hAnsi="Times New Roman" w:cs="Times New Roman"/>
          <w:color w:val="04092A"/>
          <w:sz w:val="24"/>
          <w:szCs w:val="24"/>
          <w:u w:val="single"/>
        </w:rPr>
        <w:t xml:space="preserve"> </w:t>
      </w:r>
      <w:r w:rsidRPr="00FE77B6">
        <w:rPr>
          <w:rFonts w:ascii="Times New Roman" w:eastAsia="Times New Roman" w:hAnsi="Times New Roman" w:cs="Times New Roman"/>
          <w:color w:val="04092A"/>
          <w:sz w:val="24"/>
          <w:szCs w:val="24"/>
        </w:rPr>
        <w:t>»_</w:t>
      </w:r>
      <w:r>
        <w:rPr>
          <w:rFonts w:ascii="Times New Roman" w:eastAsia="Times New Roman" w:hAnsi="Times New Roman" w:cs="Times New Roman"/>
          <w:color w:val="04092A"/>
          <w:sz w:val="24"/>
          <w:szCs w:val="24"/>
          <w:u w:val="single"/>
        </w:rPr>
        <w:t>июня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_2023</w:t>
      </w:r>
      <w:r w:rsidRPr="00FE77B6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года №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4092A"/>
          <w:sz w:val="24"/>
          <w:szCs w:val="24"/>
          <w:u w:val="single"/>
        </w:rPr>
        <w:t>22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___</w:t>
      </w: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</w:pPr>
    </w:p>
    <w:p w:rsidR="00D60F70" w:rsidRPr="00672F95" w:rsidRDefault="00D60F70" w:rsidP="00D60F7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  <w:t xml:space="preserve">                                  </w:t>
      </w:r>
      <w:r w:rsidRPr="00672F95"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  <w:t>ПОЛОЖЕНИЕ</w:t>
      </w:r>
    </w:p>
    <w:p w:rsidR="00D60F70" w:rsidRPr="00672F95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  <w:t>О КОНТРОЛЬНО-СЧЕТН</w:t>
      </w:r>
      <w:r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  <w:t>ОЙ ПАЛАТЕ</w:t>
      </w:r>
      <w:r w:rsidRPr="00672F95"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  <w:t xml:space="preserve"> </w:t>
      </w:r>
    </w:p>
    <w:p w:rsidR="00D60F70" w:rsidRPr="00672F95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</w:pPr>
      <w:r w:rsidRPr="005F5207"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  <w:t>ГОРОДСКОГО ОКРУГА ГОРОДА АК-ДОВУРАК</w:t>
      </w:r>
      <w:r w:rsidRPr="00672F95">
        <w:rPr>
          <w:rFonts w:ascii="Times New Roman" w:eastAsia="Times New Roman" w:hAnsi="Times New Roman" w:cs="Times New Roman"/>
          <w:b/>
          <w:color w:val="04092A"/>
          <w:sz w:val="32"/>
          <w:szCs w:val="32"/>
        </w:rPr>
        <w:t xml:space="preserve"> РЕСПУБЛИКИ ТЫВА</w:t>
      </w: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EB7AE2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г. Ак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-Довурак</w:t>
      </w: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2023 год</w:t>
      </w:r>
    </w:p>
    <w:p w:rsidR="00D60F70" w:rsidRDefault="00D60F70" w:rsidP="00D60F7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lastRenderedPageBreak/>
        <w:t>ПОЛОЖЕНИЕ</w:t>
      </w: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о</w:t>
      </w:r>
      <w:r w:rsidRPr="00C46B00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палате</w:t>
      </w:r>
      <w:r w:rsidRPr="00C46B00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 </w:t>
      </w:r>
    </w:p>
    <w:p w:rsidR="00D60F70" w:rsidRDefault="00D60F70" w:rsidP="00D60F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городского округа города Ак-Довурак Республики Тыва</w:t>
      </w:r>
    </w:p>
    <w:p w:rsidR="00D60F70" w:rsidRDefault="00D60F70" w:rsidP="00D60F7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1. Статус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</w:t>
      </w: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палаты</w:t>
      </w: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городского округа г</w:t>
      </w:r>
      <w:proofErr w:type="gramStart"/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.А</w:t>
      </w:r>
      <w:proofErr w:type="gramEnd"/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к-Довурак</w:t>
      </w: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1. 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городского округа города Ак-Довурак Республики Тыва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(далее –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онтрольно-счетный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плата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) является постоянно действующим органом внешнего муниципального финансового контроля, образуется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Хуралом представителей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Республики Тыва (далее – Представительный орган городского округа)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и ему подотчетен.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обладает организационной и функциональной независимостью и осуществляет свою деятельность самостоятельно.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Деятельность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не может быть приостановлена, в том числе в связи досрочным прекращением полномочий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Хурала представителей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является органом местного самоуправления, имеет гербовую печать и бланки со своим наименованием и с изображением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герба городского округа города Ак-Довурак.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об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ладает правами юридического лица.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6.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обладает правом правотворческой инициативы по вопросам своей деятельности и реализации полномочий внешнего муниципального финансового контроля.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7.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D4549E">
        <w:rPr>
          <w:rFonts w:ascii="Times New Roman" w:eastAsia="Times New Roman" w:hAnsi="Times New Roman" w:cs="Times New Roman"/>
          <w:color w:val="04092A"/>
          <w:sz w:val="24"/>
          <w:szCs w:val="24"/>
        </w:rPr>
        <w:t>может учреждать ведомственные награды и знаки отличия, утверждать положения об этих наградах и знаках, их описания и рисунки, порядок награждения.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8.  Место нахождения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–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668051, Республика Тыва, г</w:t>
      </w:r>
      <w:proofErr w:type="gramStart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.А</w:t>
      </w:r>
      <w:proofErr w:type="gramEnd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к-Довурак, ул</w:t>
      </w:r>
      <w:r w:rsidR="00AA43B4">
        <w:rPr>
          <w:rFonts w:ascii="Times New Roman" w:eastAsia="Times New Roman" w:hAnsi="Times New Roman" w:cs="Times New Roman"/>
          <w:color w:val="04092A"/>
          <w:sz w:val="24"/>
          <w:szCs w:val="24"/>
        </w:rPr>
        <w:t>.Комсомольская, 3а, 3 этаж, 312</w:t>
      </w:r>
      <w:r w:rsidR="001E7059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9.  Полное наименование: 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городского округа города Ак-Довурак Республики Тыва;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10.  Сокращенное наименование: КСП г</w:t>
      </w:r>
      <w:proofErr w:type="gramStart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.А</w:t>
      </w:r>
      <w:proofErr w:type="gramEnd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к-Довурак.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2. Правовые основы деятельности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Правовое регулирование организации и деятельности 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основывается на </w:t>
      </w:r>
      <w:hyperlink r:id="rId8" w:history="1">
        <w:r w:rsidRPr="00C46B00">
          <w:rPr>
            <w:rFonts w:ascii="Times New Roman" w:eastAsia="Times New Roman" w:hAnsi="Times New Roman" w:cs="Times New Roman"/>
            <w:color w:val="04092A"/>
            <w:sz w:val="24"/>
            <w:szCs w:val="24"/>
          </w:rPr>
          <w:t>Конституции</w:t>
        </w:r>
      </w:hyperlink>
      <w: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Российской Федерации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осуществляется Федеральным законом от 06 октября 2003 года №131-ФЗ «Об общих принципах организации местного самоуправления в Российской Федерации», Бюджетным кодексом Российской Федерации, Федеральным законом от 07 февраля 2011 года №6-ФЗ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другими федеральными законами</w:t>
      </w:r>
      <w:proofErr w:type="gramEnd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иными нормативно-правовыми актами Российской Федерации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Конституции Республики Тыва,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законов и иных нормативных правовых актов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Республики Тыва, </w:t>
      </w:r>
      <w:hyperlink r:id="rId9" w:history="1">
        <w:r w:rsidRPr="00C46B00">
          <w:rPr>
            <w:rFonts w:ascii="Times New Roman" w:eastAsia="Times New Roman" w:hAnsi="Times New Roman" w:cs="Times New Roman"/>
            <w:color w:val="04092A"/>
            <w:sz w:val="24"/>
            <w:szCs w:val="24"/>
          </w:rPr>
          <w:t>устава</w:t>
        </w:r>
      </w:hyperlink>
      <w: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городского округа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настоящего Положения и иных муниципальных правовых актов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3. Принципы деятельности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Деятельность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основывается на принципах законности, объективности, эффективности, независимости, открытости и гласности.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Статья 4. Состав 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и структура </w:t>
      </w: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обр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азуется в составе председателя </w:t>
      </w:r>
      <w:r w:rsidRPr="00AA7A0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аппарата (инспектор) </w:t>
      </w:r>
      <w:r w:rsidRPr="00AA7A0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AA7A05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Уставом города Ак-Довурак в составе 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может быть предусмотрена одна должность заместителя председателя, а также должности аудиторов Контрольно-счетной палаты. </w:t>
      </w: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Должности п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>редседател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я 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относится к 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>муниципальн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ой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должност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и</w:t>
      </w:r>
      <w:r w:rsidRPr="00F376AC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должность</w:t>
      </w:r>
      <w:r w:rsidRPr="00F376AC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инспектора к должностям муниципальной службы.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Срок полномочий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 составляет 5 (пять) лет.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</w:p>
    <w:p w:rsidR="00D60F70" w:rsidRPr="00024F3F" w:rsidRDefault="00D60F70" w:rsidP="00D60F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Структура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определяется в порядке, установленном нормативно-правовым актом Представительного органа г</w:t>
      </w:r>
      <w:proofErr w:type="gramStart"/>
      <w:r>
        <w:rPr>
          <w:rFonts w:ascii="Times New Roman" w:hAnsi="Times New Roman" w:cs="Times New Roman"/>
          <w:sz w:val="24"/>
          <w:szCs w:val="24"/>
        </w:rPr>
        <w:t>.А</w:t>
      </w:r>
      <w:proofErr w:type="gramEnd"/>
      <w:r>
        <w:rPr>
          <w:rFonts w:ascii="Times New Roman" w:hAnsi="Times New Roman" w:cs="Times New Roman"/>
          <w:sz w:val="24"/>
          <w:szCs w:val="24"/>
        </w:rPr>
        <w:t>к-Довурак.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5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В состав аппарата 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входит инспектор. 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На инспектор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а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возлагаются обязанности по организации и непосредственному проведению внешнего муниципального финансового контроля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пределах компетенции 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6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Права, обязанности и ответственность работников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определяются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законодательством о муниципальной службе, трудовым законодательством и иными нормативными правовыми актами, содержащими нормы трудового права.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7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Штатная численность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определяется правовым актом П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редставительного органа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городского округа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 представлению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с учетом необходимости выполнения возложенных законодательством полномочий, обеспечения организационной и функциональной независимости.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8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Структура и штатное расписание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утверждаются председателем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исходя из возложенных на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Контрольно-счетную палату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полномочий.</w:t>
      </w: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9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палате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может быть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образ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ован коллегиальный орган (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коллегия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)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котор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ый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рассматривает наиболее важные вопросы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включая вопросы планирования и организации ее деятельности, 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методологии контрольной деятельности. Компетенция и порядок работы коллегии определяются настоящим Положением и Регламентом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В состав коллегии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входят председатель,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инспектор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(аппарат Контрольно-счетной палаты)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5. Порядок назначения на должность и освобождения от должности председателя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Председатель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>назнача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е</w:t>
      </w:r>
      <w:r w:rsidRPr="00672F95">
        <w:rPr>
          <w:rFonts w:ascii="Times New Roman" w:eastAsia="Times New Roman" w:hAnsi="Times New Roman" w:cs="Times New Roman"/>
          <w:color w:val="04092A"/>
          <w:sz w:val="24"/>
          <w:szCs w:val="24"/>
        </w:rPr>
        <w:t>тся на должность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Хуралом представителей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Предложения о кандидатурах на должность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вносятся 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 представителей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1)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Главой городского округа - П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редседателем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Хурала представителей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2) депутатами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Хурала представителей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- не менее одной трети от установленного числа деп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утатов представительного органа.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3.  Представительный орган городского округа вправе обратиться в Счетную палату Республики Тыва за заключением о соответствии кандидатур на должность председателя Контрольно-счетной палаты квалификационным требования, установленным Федеральным законом от 07.02.2011 года № 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>4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Кандидатуры на должность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представляются 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Представительный орган городского округа, перечисленными в </w:t>
      </w:r>
      <w:hyperlink r:id="rId10" w:anchor="P91" w:history="1">
        <w:r w:rsidRPr="00C46B00">
          <w:rPr>
            <w:rFonts w:ascii="Times New Roman" w:eastAsia="Times New Roman" w:hAnsi="Times New Roman" w:cs="Times New Roman"/>
            <w:color w:val="04092A"/>
            <w:sz w:val="24"/>
            <w:szCs w:val="24"/>
          </w:rPr>
          <w:t>части 2</w:t>
        </w:r>
      </w:hyperlink>
      <w: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настоящей статьи, не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позднее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чем за два месяца до истечения полномочий действующего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4.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B845C2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Порядок рассмотрения кандидатуры на должность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B845C2">
        <w:rPr>
          <w:rFonts w:ascii="Times New Roman" w:eastAsia="Times New Roman" w:hAnsi="Times New Roman" w:cs="Times New Roman"/>
          <w:color w:val="04092A"/>
          <w:sz w:val="24"/>
          <w:szCs w:val="24"/>
        </w:rPr>
        <w:t>устанавливается нормативным прав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овым актом или регламентом П</w:t>
      </w:r>
      <w:r w:rsidRPr="00B845C2">
        <w:rPr>
          <w:rFonts w:ascii="Times New Roman" w:eastAsia="Times New Roman" w:hAnsi="Times New Roman" w:cs="Times New Roman"/>
          <w:color w:val="04092A"/>
          <w:sz w:val="24"/>
          <w:szCs w:val="24"/>
        </w:rPr>
        <w:t>редставительного органа муниципального образования.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6. Требования к кандидатурам на должность председателя</w:t>
      </w:r>
      <w:r w:rsidRPr="002544C2">
        <w:rPr>
          <w:rFonts w:ascii="Times New Roman" w:eastAsia="Times New Roman" w:hAnsi="Times New Roman" w:cs="Times New Roman"/>
          <w:b/>
          <w:color w:val="04092A"/>
          <w:sz w:val="24"/>
          <w:szCs w:val="24"/>
          <w:highlight w:val="yellow"/>
        </w:rPr>
        <w:t xml:space="preserve"> </w:t>
      </w:r>
      <w:r w:rsidRPr="00B845C2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1. На должность председателя 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назначаются граждане Российской Федерации, соответствующие следующим квалификационным требованиям: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1)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 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наличие высшего образования;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2)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опыт работы в области государственного, муниципального управления, государственного, муниципального контроля (аудита), экономики, финансов, юриспруденции не менее пяти лет;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3)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знание Конституции Российской Федерации, федерального законодательства, в том числе бюджетного законодательства Российской Федерации и иных нормативных правовых актов, регулирующих бюджетные правоотношения, законодательства Российской Федерации о противо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действии коррупции, Конституции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законов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Республики Тыва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иных нормативных правовых актов, устава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городского округа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иных муниципальных правовых актов применительно к исполнению должностных обязанностей, а также общих требований к стандартам внешнего государственного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муниципального аудита (контроля) для проведения контрольных и экспертно-аналитических мероприятий контрольно-счетными органами субъектов Российской Федерации и муниципальных образований, утвержденных Счетной палатой Российской Федерации.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Гражданин Российской Федерации не может быть назначен на должность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случае: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1)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наличия у него неснятой или непогашенной судимости;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2)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признания его недееспособным или ограниченно дееспособным решением суда, вступившим в законную силу;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3) отказа от прохождения процедуры оформления допуска к сведениям, составляющим государственную и иную охраняемую федеральным законом тайну, если исполнение обязанностей по должности, на замещение которой претендует гражданин, связано с использованием таких сведений;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4) 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5) наличия оснований, предусмотренных пунктом 3 настоящей статьи.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Гражданин, замещающий должность п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редседател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я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не мо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жет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состоять в близком родстве или свойстве (родители, супруги, дети, братья, сестры, а также братья, сестры, родители, дети су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пругов и супруги детей) с Главой городского округа- председателем Хурала представителей г</w:t>
      </w:r>
      <w:proofErr w:type="gramStart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.А</w:t>
      </w:r>
      <w:proofErr w:type="gramEnd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председателем администрации г.Ак-Довурак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руководителями судебных и правоохранительных органов, расположенных на территории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городского округа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4. Председатель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не мо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жет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заниматься другой оплачиваемой деятельностью, кроме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>гражданства, если иное не предусмотрено международным договором Российской Федерации или законодательством Российской Федерации.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Председатель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а также лица, претендующие на замещение должност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и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порядке, установленном нормативными правовыми актами Российской Федерации, субъектов Российской Федерации, муниципальными нормативными правовыми актами.</w:t>
      </w:r>
      <w:proofErr w:type="gramEnd"/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7. Гарантии статуса должностных лиц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Председатель,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инспектор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являются должностными лицами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Воздействие в какой-либо форме на должностных лиц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целях воспрепятствования осуществлению ими должностных полномочий или оказания влияния на принимаемые ими решения, а также насильственные действия, оскорбления, а равно клевета в отношении должностных лиц Контрольно-счетного органа либо распространение заведомо ложной информации об их деятельности влекут за собой ответственность, установленную законодательством Российской Федерации и (или) законодательством субъекта Российской Федерации.</w:t>
      </w:r>
      <w:proofErr w:type="gramEnd"/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подлежат государственной защите в соответствии с законодательством Российской Федерации о государственной защите судей, должностных лиц правоохранительных и контролирующих органов и иными нормативными правовыми актами Российской Федерации.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4. 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обладают гарантиями профессиональной независимости.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5. Председатель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досрочно освобождается от должности на основании решения представительного органа муниципального образования по следующим основаниям: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1) вступления в законную силу обвинительного приговора суда в отношении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его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2) признания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его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недееспособным или ограниченно дееспособным вступившим в законную силу решением суда;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3) 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4) подачи письменного заявления об отставке;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5) нарушения требований законодательства Российской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Федерации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при осуществлении возложенных на него должностных полномочий или злоупотребления должностными полномочиями, если за решение о его досрочном освобождении проголосует большинство от установленного числа депутатов представительного органа муниципального образования;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6) достижения установленного нормативным правовым актом представительного органа муниципального образования в соответствии с федеральным законом предельного возраста пребывания в должности;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7) выявления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обстоятельств, предусмотренных </w:t>
      </w:r>
      <w:hyperlink r:id="rId11" w:anchor="P124" w:history="1">
        <w:r w:rsidRPr="00C46B00">
          <w:rPr>
            <w:rFonts w:ascii="Times New Roman" w:eastAsia="Times New Roman" w:hAnsi="Times New Roman" w:cs="Times New Roman"/>
            <w:color w:val="04092A"/>
            <w:sz w:val="24"/>
            <w:szCs w:val="24"/>
          </w:rPr>
          <w:t>частями 2</w:t>
        </w:r>
      </w:hyperlink>
      <w: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hyperlink r:id="rId12" w:anchor="P132" w:history="1">
        <w:r w:rsidRPr="00C46B00">
          <w:rPr>
            <w:rFonts w:ascii="Times New Roman" w:eastAsia="Times New Roman" w:hAnsi="Times New Roman" w:cs="Times New Roman"/>
            <w:color w:val="04092A"/>
            <w:sz w:val="24"/>
            <w:szCs w:val="24"/>
          </w:rPr>
          <w:t>3 статьи 6</w:t>
        </w:r>
      </w:hyperlink>
      <w: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настоящего Положения;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8) несоблюдения ограничений, запретов, неисполнения обязанностей, которые установлены Федеральным законом от 25 декабря 2008 года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№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273-ФЗ "О противодействии коррупции", Федеральным законом от 3 декабря 2012 года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№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230-ФЗ "О контроле за соответствием расходов лиц, замещающих государственные должности, и иных лиц их доходам", Федеральным законом от 7 мая 2013 года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№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79-ФЗ "О запрете отдельным категориям лиц открывать и иметь счета (вклады), хранить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наличные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>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8. Полномочия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осуществляет следующие полномочия: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1) организация и осуществление контроля за законностью и эффективностью использования средств местного бюджета, а также иных сре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дств в сл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учаях, предусмотренных законодательством Российской Федерации;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2) экспертиза проектов местного бюджета, проверка и анализ обоснованности его показателей;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3) внешняя проверка годового отчета об исполнении местного бюджета;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4) проведение аудита в сфере закупок товаров, работ и услуг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5)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оценка эффективности формирования муниципа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льной собственности, управления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распоряжения такой собственностью и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 за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6)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местного бюджета и имущества, находящегося в муниципальной собственности;</w:t>
      </w:r>
      <w:proofErr w:type="gramEnd"/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7) экспертиза проектов муниципальных правовых актов в части, касающейся расходных обязательств муниципального образования, экспертиза проектов муниципальных правовых актов, приводящих к изменению доходов местного бюджета, а также муниципальных программ (проектов муниципальных программ);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8) анализ и мониторинг бюджетного процесса в муниципальном образовании,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9) проведение оперативного анализа исполнения и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контроля за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организацией исполнения местного бюджета в текущем финансовом году, ежеквартальное представление информации о ходе исполнения местного бюджета, о результатах проведенных контрольных и экспертно-аналитических мероприятий в представительный орган муниципального образования и главе муниципального образования;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10) осуществление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контроля за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состоянием муниципального внутреннего и внешнего долга;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11) оценка реализуемости, рисков и результатов достижения целей социально-экономического развития муниципального образования, предусмотренных документами стратегического планирования муниципального образования, в пределах компетенции Контрольно-счетного органа;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12) участие в пределах полномочий в мероприятиях, направленных на противодействие коррупции;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13) иные полномочия в сфере внешнего муниципального финансового контроля, установленные федеральными законами, законами субъекта Российской Федерации, уставом и нормативными правовыми актами представительного органа муниципального образования.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Внешний государственный и муниципальный финансовый контроль осуществляется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>1) в отношении органов местного самоуправления и муниципальных органов, муниципальных учреждений и унитарных предприятий муниципального образования, а также иных организаций, если они используют имущество, находящееся в муниципальной собственности муниципального образования;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2) в отношении иных лиц в случаях, предусмотренных Бюджетным кодексом Российской Федерации и другими федеральными законами.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9. Формы осуществления Контрольно-счетн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ой палатой</w:t>
      </w: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 внешнего муниципального финансового контроля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Внешний муниципальный финансовый контроль осуществляется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форме контрольных или экспертно-аналитических мероприятий.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При проведении контрольного мероприятия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составляется соответствующий акт (акты), который доводится до сведения руководителей проверяемых органов и организаций. На основании акта (актов)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составляется отчет.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При проведении экспертно-аналитического мероприятия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 составляе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тся отчет или заключение.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10. Стандарты внешнего муниципального финансового контроля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при осуществлении внешнего муниципального финансового контроля руководствуется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hyperlink r:id="rId13" w:history="1">
        <w:r w:rsidRPr="00C46B00">
          <w:rPr>
            <w:rFonts w:ascii="Times New Roman" w:eastAsia="Times New Roman" w:hAnsi="Times New Roman" w:cs="Times New Roman"/>
            <w:color w:val="04092A"/>
            <w:sz w:val="24"/>
            <w:szCs w:val="24"/>
          </w:rPr>
          <w:t>Конституцией</w:t>
        </w:r>
      </w:hyperlink>
      <w: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Российской Федерации, законодательством Российской Федерации,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Конституцией Республики Тыва,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законодательством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Республики Тыва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нормативными правовыми актами муниципального образования, а также стандартами внешнего муниципального финансового контроля.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2. Стандарты внешнего муниципального финансового контроля для проведения контрольных и экспертно-аналитических мероприятий утверждаются Контрольно-счетн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соответствии с общими требованиями, утвержденными Счетной палатой Российской Федерации.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3. При подготовке стандартов внешнего муниципального финансового контроля учитываются международные стандарты в области государственного контроля, аудита и финансовой отчетности.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4. Стандарты внешнего муниципального финансового контроля, утверждаемые Контрольно-счетн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не могут противоречить законодательству Российской Федерации и законодательству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Республики Тыва.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672F95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11. Планирование деятельности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</w:t>
      </w:r>
      <w:r w:rsidRPr="00672F95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осуществляет свою деятельность на основе планов, которые разрабатываются и утверждаются им самостоятельно.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Планирование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осуществляется с учетом результатов контрольных и экспертно-аналитических мероприятий, а также на основании поручений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Хурала представителей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предложений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Главы городского округа 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План работы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на предстоящий год утверждается коллегией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срок до 30 декабря.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Поручения, принятые решением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Хурала представителей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предложения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Главы городского округа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направленные 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Контрольно-счетную палату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до 15 декабря года, предшествующего планируемому, подлежат обязательному включению в план работы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на предстоящий год.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4. Поручения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Хурала представителей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предложения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Хурала представителей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предложения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Главы городского округа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по внесению изменений в план работы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поступившие для включения в план работы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>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течение года, рассматриваются на ближайшем заседании коллегии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12. Регламент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</w:t>
      </w: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1. Регламент Контрольно-счетно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определяет: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- содержание направлений деятельности;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- распределение обязанностей;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- вопросы подготовки и проведения контрольных и экспертно-аналитических мероприятий;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- порядок ведения делопроизводства;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- порядок направления запросов о предоставлении информации, документов и материалов, необходимых для проведения контрольных и экспертно-аналитических мероприятий;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- процедуру опубликования в средствах массовой информации или размещения в сети Интернет информации о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- иные вопросы внутренней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Регламент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утверждается Председателем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13. Обязательность исполнения требований должностных лиц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Требования и запросы должностных лиц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связанные с осуществлением ими своих должностных полномочий, установленных законодательством Российской Федерации, субъекта Российской Федерации, нормативными правовыми актами муниципального образования, являются обязательными для исполнения органами местного самоуправления и муниципальными органами, организациями, в отношении которых осуществляется внешний муниципальный финансовый контроль (далее - проверяемые органы и организации).</w:t>
      </w:r>
      <w:proofErr w:type="gramEnd"/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Неисполнение законных требований и запросов должностных лиц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а также воспрепятствование осуществлению ими возложенных на них должностных полномочий влекут за собой ответственность, установленную законодательством Российской Федерации, субъекта Российской Федерации.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Статья 14. Полномочия председателя 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и инспектора </w:t>
      </w: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по организации деятельности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</w:t>
      </w: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Председатель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1) осуществляет общее руководство деятельностью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2) утверждает Регламент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3) утверждает планы работы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изменения к ним;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4) утверждает годовой отчет о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5) утверждает стандарты внешнего муниципального финансового контроля;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6) утверждает результаты контрольных и экспертно-аналитических мероприятий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; подписывает представления и предписания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7) представляет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Хуралу представителей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ежегодный отчет о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информацию о результатах проведенных контрольных и экспертно-аналитических мероприятий;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8) представляет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Контрольно-счетную палату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государственных органах Российской Федерации, государственных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органах Республики Тыва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органах местного самоуправления;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 xml:space="preserve">9) утверждает структуру и штатное расписание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положения о структурных подразделениях и должностные инструкции работников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10) осуществляет полномочия нанимателя работников аппарата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11) утверждает правовые акты о реализации гарантий, установленных для должностных лиц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12) издает правовые акты (приказы, распоряжения) по вопросам организации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AE745F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</w:t>
      </w:r>
      <w:r w:rsidRPr="00AE745F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Инспектор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AE745F">
        <w:rPr>
          <w:rFonts w:ascii="Times New Roman" w:eastAsia="Times New Roman" w:hAnsi="Times New Roman" w:cs="Times New Roman"/>
          <w:color w:val="04092A"/>
          <w:sz w:val="24"/>
          <w:szCs w:val="24"/>
        </w:rPr>
        <w:t>:</w:t>
      </w:r>
    </w:p>
    <w:p w:rsidR="00D60F70" w:rsidRPr="00AE745F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AE745F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1) в отсутствии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AE745F">
        <w:rPr>
          <w:rFonts w:ascii="Times New Roman" w:eastAsia="Times New Roman" w:hAnsi="Times New Roman" w:cs="Times New Roman"/>
          <w:color w:val="04092A"/>
          <w:sz w:val="24"/>
          <w:szCs w:val="24"/>
        </w:rPr>
        <w:t>выполняет его обязанности;</w:t>
      </w:r>
    </w:p>
    <w:p w:rsidR="00D60F70" w:rsidRPr="00AE745F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AE745F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2) выполняет должностные обязанности в соответствии с Регламентом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AE745F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15. Компетенция коллегии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Коллегия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рассматривает на своих заседаниях: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- годовой отчет о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-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стандарты внешнего муниципального финансового контроля, методические рекомендации по осуществлению контрольной деятельности;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- итоги контрольных и экспертно-аналитических мероприятий;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- план работы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на предстоящий год;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- внесение изменений в план работы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текущем году;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- Регламент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- другие вопросы, предусмотренные Регламентом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2. По вопросам, рассмотренным Коллегией, принимаются решения Коллегии.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16. Права, обязанности и ответственность должностных лиц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при осуществлении возложенных на них должностных полномочий имеют право: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1) беспрепятственно входить на территорию и в помещения, занимаемые проверяемыми органами и организациями, иметь доступ к их документам и материалам, а также осматривать занимаемые ими территории и помещения;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2) в случае обнаружения подделок, подлогов, хищений, злоупотреблений и при необходимости пресечения данных противоправных действий опечатывать кассы, кассовые и служебные помещения, склады и архивы проверяемых органов и организаций, изымать документы и материалы с учетом ограничений, установленных законодательством Российской Федерации. Опечатывание касс, кассовых и служебных помещений, складов и архивов, изъятие документов и материалов производятся с участием уполномоченных должностных лиц проверяемых органов и организаций и составлением соответствующих актов;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3) в пределах своей компетенции направлять запросы должностным лицам территориальных органов федеральных органов исполнительной власти и их структурных подразделений, органов управления государственными внебюджетными фондами, органов государственной власти и государственных органов субъектов Российской Федерации, органов местного самоуправления и муниципальных органов, организаций;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4) в пределах своей компетенции требовать от руководителей и других должностных лиц проверяемых органов и организаций представления письменных объяснений по фактам нарушений, выявленных при проведении контрольных мероприятий, а также необходимых копий документов, заверенных в установленном порядке;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>5) составлять акты по фактам непредставления или несвоевременного представления должностными лицами проверяемых органов и организаций документов и материалов, запрошенных при проведении контрольных мероприятий;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6) в пределах своей компетенции знакомиться со всеми необходимыми документами, касающимися финансово-хозяйственной деятельности проверяемых органов и организаций, в том числе в установленном порядке с документами, содержащими государственную, служебную, коммерческую и иную охраняемую законом тайну;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7) знакомиться с информацией, касающейся финансово-хозяйственной деятельности проверяемых органов и организаций и хранящейся в электронной форме в базах данных проверяемых органов и организаций, в том числе в установленном порядке с информацией, содержащей государственную, служебную, коммерческую и иную охраняемую законом тайну;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8) знакомиться с технической документацией к электронным базам данных;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9) составлять протоколы об административных правонарушениях, если такое право предусмотрено законодательством Российской Федерации, законодательством субъекта Российской Федерации.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случае опечатывания касс, кассовых и служебных помещений, складов и архивов, изъятия документов и матер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иалов в случае, предусмотренном </w:t>
      </w:r>
      <w:r w:rsidRPr="00670930">
        <w:rPr>
          <w:rFonts w:ascii="Times New Roman" w:eastAsia="Times New Roman" w:hAnsi="Times New Roman" w:cs="Times New Roman"/>
          <w:color w:val="04092A"/>
          <w:sz w:val="24"/>
          <w:szCs w:val="24"/>
        </w:rPr>
        <w:t>пунктом 2 части 1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настоящей статьи, должны незамедлительно (в течение 24 часов) уведомить об этом председателя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порядке, установленном законом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Республики Тыва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не вправе вмешиваться в оперативно-хозяйственную деятельность проверяемых органов и организаций, а также разглашать информацию, полученную при проведении контрольных мероприятий, предавать гласности свои выводы до завершения контрольных мероприятий и составления соответствующих актов и отчетов.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обязаны сохранять государственную, служебную, коммерческую и иную охраняемую законом тайну, ставшую им известной при проведении в проверяемых органах и организациях контрольных и экспертно-аналитических мероприятий, проводить контрольные и экспертно-аналитические мероприятия, объективно и достоверно отражать их результаты в соответствующих актах, отчетах и заключениях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  <w:proofErr w:type="gramEnd"/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обязаны соблюдать ограничения, запреты, исполнять обязанности, которые установлены Федеральным законом от 25 декабря 2008 года N 273-ФЗ «О противодействии коррупции», Федеральным законом от 3 декабря 2012 года N 230-ФЗ «О контроле за соответствием расходов лиц, замещающих государственные должности, и иных лиц их доходам», Федеральным законом от 7 мая 2013 года N 79-ФЗ «О запрете отдельным категориям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6. 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несут ответственность в соответствии с законодательством Российской Федерации за достоверность и объективность результатов, проводимых ими контрольных и экспертно-аналитических мероприятий, а также за разглашение государственной и иной охраняемой законом тайны.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7. Должностные лица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вправе участвовать в заседаниях представительного органа муниципального образования, его комитетов, комиссий и рабочих групп, заседаниях администрации муниципального образования, координационных и совещательных органов при главе муниципального образования.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17. Представление информации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палате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 xml:space="preserve">1.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Органы, организации и их должностные лица, указанные в части 1 статьи 15 Федерального закона от 07 февраля 2011 г.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№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6-ФЗ «Об общих принципах организации и деятельности контрольно-счетных органов субъектов Российской Федерации и муниципальных образований», в отношении которых Контрольно-счетный орган вправе осуществлять внешний муниципальный финансовый контроль или которые обладают информацией, необходимой для осуществления внешнего муниципального финансового контроля, представляют по запросам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</w:t>
      </w:r>
      <w:proofErr w:type="gramEnd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информацию, документы и материалы, необходимые для проведения контрольных и экспертно-аналитических мероприятий, в сроки, указанные в запросе или установленные законами субъектов Российской Федерации.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Порядок направления контрольно-счетными органами запросов, указанных в части 1 настоящей статьи, определяется муниципальными правовыми актами и Регламентом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При осуществлении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мероприятий внешнего муниципального финансового контроля проверяемые органы и организации должны обеспечить должностным лицам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возможность ознакомления с управленческой и иной отчетностью и документацией, документами, связанными с формированием и исполнением бюджета муниципального образования, использованием муниципальной собственности, муниципальными информационными системами, используемыми проверяемыми органами и организациями, и технической документацией к ним, а также иными документами, необходимыми для осуществления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его полномочий.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Руководители проверяемых органов и организаций обязаны создавать необходимые условия для работы должностных лиц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обеспечивать соответствующих должностных лиц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участвующих в контрольных мероприятиях, оборудованным рабочим местом с доступом к справочным правовым системам, информационно-телекоммуникационной сети Интернет.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4. Администрация муниципального образования направляет 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Контрольно-счетную палату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бюджетную отчетность, финансовую отчетность, утвержденную сводную бюджетную роспись бюджета муниципального образования в порядке и сроки, установленные муниципальными правовыми актами.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Непредставление или несвоевременное представление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палате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 его запросу информации, документов и материалов, необходимых для проведения контрольных и экспертно-аналитических мероприятий, а равно представление информации, документов и материалов не в полном объеме или представление недостоверных информации, документов и материалов влечет за собой ответственность, установленную законодательством Российской Федерации и (или) законодательством субъекта Российской Федерации.</w:t>
      </w:r>
      <w:proofErr w:type="gramEnd"/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6. При осуществлении внешнего муниципального финансового контроля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палате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предоставляется необходимый для реализации его полномочий постоянный доступ к государственным и муниципальным информационным системам в соответствии с законодательством 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18. Представления и предписания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 результатам проведения контрольных мероприятий вправе вносить в органы местного самоуправления и муниципальные органы, проверяемые органы и организации и их должностным лицам представления для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>принятия мер по устранению выявленных бюджетных и иных нарушений и недостатков, предотвращению нанесения материального ущерба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 пресечению, устранению и предупреждению нарушений.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Представление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подписывается председате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лем Контрольно-счетной палаты.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Органы местного самоуправления, муниципальные органы, иные организации в указанный в представлении срок, или, если срок не указан, в течение 30 дней со дня его получения обязаны уведомить в письменной форме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Контрольно-счетную палату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 принятых по результатам выполнения представления решениях и мерах.</w:t>
      </w:r>
      <w:proofErr w:type="gramEnd"/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4. Срок выполнения представления может быть продлен по решению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но не более одного раза.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5. В случае выявления нарушений, требующих безотлагательных мер по их пресечению и предупреждению, невыполнения представлений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, а также в случае воспрепятствования проведению должностными лицами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контрольных мероприятий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направляет в органы местного самоуправления и муниципальные органы, проверяемые организации и их должностным лицам предписание.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6. Предписание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должно содержать указание на конкретные допущенные нарушения и конкретные основания вынесения предписания.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Предписание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подписывается председателем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7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Предписание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должно быть исполнено в установленные в нем сроки.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Срок выполнения предписания может быть продлен по решению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, но не более одного раза.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8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Невыполнение представления или предписания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влечет за собой ответственность, установленную законодательством Российской Федерации.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9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. В случае если при проведении контрольных мероприятий выявлены факты незаконного использования средств бюджета муниципального образования, в которых усматриваются признаки преступления или коррупционного правонарушения,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незамедлительно передает материалы контрольных мероприятий в правоохранительные органы.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19. Гарантии прав проверяемых органов и организаций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Акты, составленные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при проведении контрольных мероприятий, доводятся до сведения руководителей проверяемых органов и организаций. Пояснения и замечания руководителей проверяемых органов и организаций, представленные в срок, установленный законами субъекта Российской Федерации, прилагаются к актам и в дальнейшем являются их неотъемлемой частью.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Проверяемые органы и организации и их должностные лица вправе обратиться с жалобой на действия (бездействие)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в П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редставительный орган.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20. Взаимодействие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при осуществлении своей деятельности вправе взаимодействовать с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о Счетной палатой Республики Тыва, с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контрольно-счетными органами других субъектов Российской Федерации и муниципальных образований, а также со Счетной палатой Российской Федерации, с территориальными управлениями Центрального банка Российской Федерации, налоговыми органами, органами 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>прокуратуры, иными правоохранительными, надзорными и контрольными органами Российской Федерации, субъектов Российской Федерации и муниципальных образований.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Контрольно-счетный орган вправе заключать с ними соглашения о сотрудничестве и взаимодействии.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вправе вступать в объединения (ассоциации) контрольно-счетных органов Российской Федерации, объединения (ассоциации) контрольно-счетных органов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Республики Тыва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4. В целях координации своей деятельности Контрольно-счетный орган и иные государственные и муниципальные органы могут создавать как временные, так и постоянно действующие совместные координационные, консультационные, совещательные и другие рабочие органы.</w:t>
      </w: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5.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по письменному обращению контрольно-счетных органов других субъектов Российской Федерации и муниципальных образований может принимать участие в проводимых ими контрольных и экспертно-аналитических </w:t>
      </w: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>мероприятиях.</w:t>
      </w: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6.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>вправе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направить обращение</w:t>
      </w: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Счетную палату Республики Тыва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о проведении </w:t>
      </w: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>анализа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>его деятельности и рекомендация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х </w:t>
      </w: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>по повышению ее эффективности;</w:t>
      </w:r>
    </w:p>
    <w:p w:rsidR="00D60F70" w:rsidRPr="00A33E2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7.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r w:rsidRPr="00A33E26">
        <w:rPr>
          <w:rFonts w:ascii="Times New Roman" w:eastAsia="Times New Roman" w:hAnsi="Times New Roman" w:cs="Times New Roman"/>
          <w:color w:val="04092A"/>
          <w:sz w:val="24"/>
          <w:szCs w:val="24"/>
        </w:rPr>
        <w:t>вправе обратиться в Счетную палату Российской Федерации за заключением о соответствии его деятельности законодательству о внешнем муниципальном финансовом контроле и рекомендациями по повышению ее эффективности.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9673C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9673C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21. Обеспечение доступа к информации о деятельности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в целях обеспечения доступа к информации о своей деятельности размещает на своем официальном сайте в информационно-телекоммуникационной сети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Интернет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опубликовывают в средствах массовой информации информацию о проведенных контрольных и экспертно-аналитических мероприятиях, о выявленных при их проведении нарушениях, о внесенных представлениях и предписаниях, а также о принятых по ним решениях и мерах.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2.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Контрольно-счетная палата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ежегодно представляет отчет о своей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Хуралу представителей г</w:t>
      </w:r>
      <w:proofErr w:type="gramStart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.А</w:t>
      </w:r>
      <w:proofErr w:type="gramEnd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 Указанный отчет размещается в сети Интернет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только после его рассмотрения П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редставительным органом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Порядок опубликования в средствах массовой информации и размещения в сети Интернет информации о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осуществляется в соответствии с Регламентом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9673C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22. Финансовое обеспечение деятельности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9673C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Финансовое обеспечение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осуществляется за счет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средств бюд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жета местного бюджета городского округа города</w:t>
      </w:r>
      <w:proofErr w:type="gramEnd"/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Ак-Довурак.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Финансовое обеспечение деятельности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предусматривается в объеме, позволяющем обеспечить осуществление возложенных на него полномочий.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lastRenderedPageBreak/>
        <w:t xml:space="preserve">2. Средства на содержание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предусматриваются в бюджете муниципального образования отдельной строкой в соответствии с классификацией расходов бюджета Российской Федерации.</w:t>
      </w:r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3.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 за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использованием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палатой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бюджетных средств и муниципального имущества осуществляется на основании правовых актов представительного органа муниципального образования.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9673C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9673C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23. Материальное, социальное обеспечение и гарантии работников Контрольно-счетно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й палаты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1.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Должностным лицам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Контрольно-счетной палаты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гарантируются денежное содержание (вознаграждение), ежегодные оплачиваемые отпуска (основной и дополнительные), профессиональное развитие, в том числе получение дополнительного профессионального образования, а также другие меры материального и социального обеспечения, установленные для лиц, замещающих муниципальные должности и должности муниципальной службы муниципального образования (в том числе по медицинскому и санаторно-курортному обеспечению, бытовому, транспортному и иным видам обслуживания).</w:t>
      </w:r>
      <w:proofErr w:type="gramEnd"/>
    </w:p>
    <w:p w:rsidR="00D60F7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2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. Меры по материальному и социальному обеспечению председателя, инспектор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а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контрольно-счетного органа устанавливаются муниципальными правовыми актами в соответствии с федеральными законами и законами субъекта Российской Федерации.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D60F70" w:rsidRPr="009673C6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</w:pPr>
      <w:r w:rsidRPr="009673C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Статья 2</w:t>
      </w:r>
      <w:r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4</w:t>
      </w:r>
      <w:r w:rsidRPr="009673C6">
        <w:rPr>
          <w:rFonts w:ascii="Times New Roman" w:eastAsia="Times New Roman" w:hAnsi="Times New Roman" w:cs="Times New Roman"/>
          <w:b/>
          <w:color w:val="04092A"/>
          <w:sz w:val="24"/>
          <w:szCs w:val="24"/>
        </w:rPr>
        <w:t>. Заключительное положение</w:t>
      </w:r>
    </w:p>
    <w:p w:rsidR="00D60F70" w:rsidRPr="00C46B00" w:rsidRDefault="00D60F70" w:rsidP="00D60F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4092A"/>
          <w:sz w:val="24"/>
          <w:szCs w:val="24"/>
        </w:rPr>
      </w:pPr>
    </w:p>
    <w:p w:rsidR="006675C9" w:rsidRDefault="00D60F70" w:rsidP="00D60F70"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Изменения в настоящее Положение вносятся правовым актом </w:t>
      </w:r>
      <w:r>
        <w:rPr>
          <w:rFonts w:ascii="Times New Roman" w:eastAsia="Times New Roman" w:hAnsi="Times New Roman" w:cs="Times New Roman"/>
          <w:color w:val="04092A"/>
          <w:sz w:val="24"/>
          <w:szCs w:val="24"/>
        </w:rPr>
        <w:t>Хурала представителей города Ак-Довурак</w:t>
      </w:r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и вступают в силу в </w:t>
      </w:r>
      <w:proofErr w:type="gram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установленном</w:t>
      </w:r>
      <w:proofErr w:type="gramEnd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 xml:space="preserve"> </w:t>
      </w:r>
      <w:proofErr w:type="spellStart"/>
      <w:r w:rsidRPr="00C46B00">
        <w:rPr>
          <w:rFonts w:ascii="Times New Roman" w:eastAsia="Times New Roman" w:hAnsi="Times New Roman" w:cs="Times New Roman"/>
          <w:color w:val="04092A"/>
          <w:sz w:val="24"/>
          <w:szCs w:val="24"/>
        </w:rPr>
        <w:t>поряд</w:t>
      </w:r>
      <w:proofErr w:type="spellEnd"/>
      <w:r w:rsidR="006675C9">
        <w:rPr>
          <w:rFonts w:ascii="Times New Roman" w:hAnsi="Times New Roman" w:cs="Times New Roman"/>
          <w:sz w:val="28"/>
          <w:szCs w:val="28"/>
        </w:rPr>
        <w:t xml:space="preserve">   </w:t>
      </w:r>
    </w:p>
    <w:sectPr w:rsidR="006675C9" w:rsidSect="0074766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4806F6"/>
    <w:multiLevelType w:val="hybridMultilevel"/>
    <w:tmpl w:val="B1DE2DB4"/>
    <w:lvl w:ilvl="0" w:tplc="9ED83B4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">
    <w:nsid w:val="531B7CE7"/>
    <w:multiLevelType w:val="hybridMultilevel"/>
    <w:tmpl w:val="48462C58"/>
    <w:lvl w:ilvl="0" w:tplc="755269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CD0F62"/>
    <w:multiLevelType w:val="hybridMultilevel"/>
    <w:tmpl w:val="B5B8C4EC"/>
    <w:lvl w:ilvl="0" w:tplc="D00E5C12">
      <w:start w:val="1"/>
      <w:numFmt w:val="decimal"/>
      <w:lvlText w:val="%1."/>
      <w:lvlJc w:val="left"/>
      <w:pPr>
        <w:ind w:left="1008" w:hanging="37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>
    <w:useFELayout/>
  </w:compat>
  <w:rsids>
    <w:rsidRoot w:val="006675C9"/>
    <w:rsid w:val="00015312"/>
    <w:rsid w:val="00026EB7"/>
    <w:rsid w:val="0005735F"/>
    <w:rsid w:val="00070D40"/>
    <w:rsid w:val="000C3C4E"/>
    <w:rsid w:val="000F1F89"/>
    <w:rsid w:val="00134009"/>
    <w:rsid w:val="00142D38"/>
    <w:rsid w:val="0014706E"/>
    <w:rsid w:val="001721B0"/>
    <w:rsid w:val="001A51B4"/>
    <w:rsid w:val="001E7059"/>
    <w:rsid w:val="00236550"/>
    <w:rsid w:val="002672C5"/>
    <w:rsid w:val="002D7AD2"/>
    <w:rsid w:val="002F25F1"/>
    <w:rsid w:val="00335473"/>
    <w:rsid w:val="003A3769"/>
    <w:rsid w:val="003B27B1"/>
    <w:rsid w:val="004612A7"/>
    <w:rsid w:val="00475986"/>
    <w:rsid w:val="00485698"/>
    <w:rsid w:val="00486CF2"/>
    <w:rsid w:val="00495A4B"/>
    <w:rsid w:val="004F12B1"/>
    <w:rsid w:val="00522A52"/>
    <w:rsid w:val="00531800"/>
    <w:rsid w:val="00536789"/>
    <w:rsid w:val="00556577"/>
    <w:rsid w:val="005C3673"/>
    <w:rsid w:val="005C7FDA"/>
    <w:rsid w:val="005E7A31"/>
    <w:rsid w:val="0060178D"/>
    <w:rsid w:val="00646A74"/>
    <w:rsid w:val="006675C9"/>
    <w:rsid w:val="00681A41"/>
    <w:rsid w:val="00696CFA"/>
    <w:rsid w:val="006A6A49"/>
    <w:rsid w:val="006D7BDA"/>
    <w:rsid w:val="00747662"/>
    <w:rsid w:val="00775D43"/>
    <w:rsid w:val="00777263"/>
    <w:rsid w:val="007809A9"/>
    <w:rsid w:val="00792B23"/>
    <w:rsid w:val="00796955"/>
    <w:rsid w:val="007C6C86"/>
    <w:rsid w:val="008235ED"/>
    <w:rsid w:val="00823840"/>
    <w:rsid w:val="008263E6"/>
    <w:rsid w:val="008C35CB"/>
    <w:rsid w:val="0090291A"/>
    <w:rsid w:val="00954E0E"/>
    <w:rsid w:val="00977488"/>
    <w:rsid w:val="009B26CF"/>
    <w:rsid w:val="009E5D56"/>
    <w:rsid w:val="009F2DDB"/>
    <w:rsid w:val="00A32086"/>
    <w:rsid w:val="00A6558C"/>
    <w:rsid w:val="00AA3A57"/>
    <w:rsid w:val="00AA43B4"/>
    <w:rsid w:val="00AC2643"/>
    <w:rsid w:val="00AC5183"/>
    <w:rsid w:val="00B15736"/>
    <w:rsid w:val="00B16B05"/>
    <w:rsid w:val="00B263A6"/>
    <w:rsid w:val="00B4506B"/>
    <w:rsid w:val="00B95B9B"/>
    <w:rsid w:val="00C15F6F"/>
    <w:rsid w:val="00C50FCA"/>
    <w:rsid w:val="00C633E6"/>
    <w:rsid w:val="00CB2724"/>
    <w:rsid w:val="00D32704"/>
    <w:rsid w:val="00D32F79"/>
    <w:rsid w:val="00D60F70"/>
    <w:rsid w:val="00D778D4"/>
    <w:rsid w:val="00DD4EF0"/>
    <w:rsid w:val="00DF380C"/>
    <w:rsid w:val="00DF6986"/>
    <w:rsid w:val="00E551E9"/>
    <w:rsid w:val="00ED193D"/>
    <w:rsid w:val="00EF48FE"/>
    <w:rsid w:val="00F67A9A"/>
    <w:rsid w:val="00F821EB"/>
    <w:rsid w:val="00FF2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8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75C9"/>
    <w:pPr>
      <w:spacing w:after="0" w:line="240" w:lineRule="auto"/>
    </w:pPr>
    <w:rPr>
      <w:rFonts w:eastAsiaTheme="minorHAnsi"/>
      <w:lang w:eastAsia="en-US"/>
    </w:rPr>
  </w:style>
  <w:style w:type="character" w:styleId="a4">
    <w:name w:val="Hyperlink"/>
    <w:basedOn w:val="a0"/>
    <w:uiPriority w:val="99"/>
    <w:unhideWhenUsed/>
    <w:rsid w:val="00F67A9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A9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9E5D56"/>
    <w:pPr>
      <w:spacing w:after="80" w:line="240" w:lineRule="auto"/>
      <w:ind w:left="720"/>
      <w:contextualSpacing/>
      <w:jc w:val="both"/>
    </w:pPr>
    <w:rPr>
      <w:rFonts w:ascii="Calibri" w:eastAsia="Times New Roman" w:hAnsi="Calibri" w:cs="Times New Roman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19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B6497B1C2B83DCBDC20B090B7F45E61181CFA60F65912721A989C7D48EBA39BEDBFCF24E9CDB918AFB3E7ID7FI" TargetMode="External"/><Relationship Id="rId13" Type="http://schemas.openxmlformats.org/officeDocument/2006/relationships/hyperlink" Target="consultantplus://offline/ref=5B6497B1C2B83DCBDC20B090B7F45E61181CFA60F65912721A989C7D48EBA39BEDBFCF24E9CDB918AFB3E7ID7FI" TargetMode="External"/><Relationship Id="rId3" Type="http://schemas.openxmlformats.org/officeDocument/2006/relationships/styles" Target="styles.xml"/><Relationship Id="rId7" Type="http://schemas.openxmlformats.org/officeDocument/2006/relationships/hyperlink" Target="mailto:ak-dovurak.hural@mail.ru" TargetMode="External"/><Relationship Id="rId12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B6497B1C2B83DCBDC20AE9DA19801641A1FA368FF0D4B27159A942F1FEBFFDEBBB6C671A689EA0BAFB2FBDEF54CEE3133IA73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D6A0DA-61D0-4DEF-A66E-89D99B4D5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16</Pages>
  <Words>6757</Words>
  <Characters>38516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6</cp:revision>
  <cp:lastPrinted>2023-06-20T09:21:00Z</cp:lastPrinted>
  <dcterms:created xsi:type="dcterms:W3CDTF">2023-06-20T09:38:00Z</dcterms:created>
  <dcterms:modified xsi:type="dcterms:W3CDTF">2023-08-11T03:33:00Z</dcterms:modified>
</cp:coreProperties>
</file>