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3D83" w14:textId="77777777" w:rsidR="003530C7" w:rsidRDefault="00DE6B54">
      <w:pPr>
        <w:pStyle w:val="af0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Минэкономразвития напоминает предпринимателям о мерах господдержки и правах при госконтроле</w:t>
      </w:r>
    </w:p>
    <w:p w14:paraId="2B77CB18" w14:textId="77777777" w:rsidR="003530C7" w:rsidRDefault="003530C7">
      <w:pPr>
        <w:pStyle w:val="af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92DA36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</w:t>
      </w:r>
      <w:r>
        <w:rPr>
          <w:rFonts w:ascii="xo thames" w:hAnsi="xo thames"/>
          <w:i/>
          <w:color w:val="000000" w:themeColor="text1"/>
          <w:sz w:val="24"/>
          <w:szCs w:val="24"/>
        </w:rPr>
        <w:t>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</w:t>
      </w:r>
      <w:r>
        <w:rPr>
          <w:rFonts w:ascii="xo thames" w:hAnsi="xo thames"/>
          <w:i/>
          <w:color w:val="000000" w:themeColor="text1"/>
          <w:sz w:val="24"/>
          <w:szCs w:val="24"/>
        </w:rPr>
        <w:t>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</w:t>
      </w:r>
      <w:r>
        <w:rPr>
          <w:rFonts w:ascii="xo thames" w:hAnsi="xo thames"/>
          <w:i/>
          <w:color w:val="000000" w:themeColor="text1"/>
          <w:sz w:val="24"/>
          <w:szCs w:val="24"/>
        </w:rPr>
        <w:t>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«Госуслуги» пришло уведомления о проведении проверк</w:t>
      </w:r>
      <w:r>
        <w:rPr>
          <w:rFonts w:ascii="xo thames" w:hAnsi="xo thames"/>
          <w:i/>
          <w:color w:val="000000" w:themeColor="text1"/>
          <w:sz w:val="24"/>
          <w:szCs w:val="24"/>
        </w:rPr>
        <w:t>и. Узнать о правах предпринимателя при проверке поможет видеоролик Минэкономразвития России.</w:t>
      </w:r>
    </w:p>
    <w:p w14:paraId="31C9F97F" w14:textId="77777777" w:rsidR="003530C7" w:rsidRDefault="003530C7">
      <w:pPr>
        <w:pStyle w:val="af0"/>
        <w:spacing w:line="276" w:lineRule="auto"/>
        <w:ind w:firstLine="360"/>
        <w:jc w:val="both"/>
        <w:rPr>
          <w:rFonts w:ascii="xo thames" w:hAnsi="xo thames"/>
          <w:color w:val="000000" w:themeColor="text1"/>
          <w:sz w:val="24"/>
          <w:szCs w:val="24"/>
        </w:rPr>
      </w:pPr>
    </w:p>
    <w:p w14:paraId="2C75599A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 xml:space="preserve">О профилактических мероприятиях (профилактических визитах и предостережениях) </w:t>
      </w:r>
    </w:p>
    <w:p w14:paraId="2CFB21F8" w14:textId="77777777" w:rsidR="003530C7" w:rsidRDefault="00DE6B54">
      <w:pPr>
        <w:pStyle w:val="af0"/>
        <w:spacing w:line="276" w:lineRule="auto"/>
        <w:ind w:firstLine="360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Одна из наиболее заметных тенденций 2022 года — стремительный рост использования ин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</w:t>
      </w:r>
      <w:r>
        <w:rPr>
          <w:rFonts w:ascii="xo thames" w:hAnsi="xo thames"/>
          <w:i/>
          <w:color w:val="000000" w:themeColor="text1"/>
          <w:sz w:val="24"/>
          <w:szCs w:val="24"/>
        </w:rPr>
        <w:t>чем проверок.</w:t>
      </w:r>
    </w:p>
    <w:p w14:paraId="3952E356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3BE83595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значительных нарушениях обязательных требований, одна из мер реагирования контрольного органа. </w:t>
      </w:r>
    </w:p>
    <w:p w14:paraId="565C58B7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2FC4382D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</w:t>
      </w:r>
      <w:r>
        <w:rPr>
          <w:rFonts w:ascii="xo thames" w:hAnsi="xo thames"/>
          <w:i/>
          <w:color w:val="000000" w:themeColor="text1"/>
          <w:sz w:val="24"/>
          <w:szCs w:val="24"/>
        </w:rPr>
        <w:t>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</w:t>
      </w:r>
      <w:r>
        <w:rPr>
          <w:rFonts w:ascii="xo thames" w:hAnsi="xo thames"/>
          <w:i/>
          <w:color w:val="000000" w:themeColor="text1"/>
          <w:sz w:val="24"/>
          <w:szCs w:val="24"/>
        </w:rPr>
        <w:t>экономразвития России.</w:t>
      </w:r>
    </w:p>
    <w:p w14:paraId="15ABEC12" w14:textId="77777777" w:rsidR="003530C7" w:rsidRDefault="003530C7">
      <w:pPr>
        <w:pStyle w:val="af0"/>
        <w:spacing w:line="276" w:lineRule="auto"/>
        <w:jc w:val="both"/>
        <w:rPr>
          <w:rFonts w:ascii="xo thames" w:hAnsi="xo thames"/>
          <w:color w:val="000000" w:themeColor="text1"/>
          <w:sz w:val="24"/>
          <w:szCs w:val="24"/>
        </w:rPr>
      </w:pPr>
    </w:p>
    <w:p w14:paraId="7F8C1A38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b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>О мерах государственной поддержки</w:t>
      </w:r>
    </w:p>
    <w:p w14:paraId="3CD6D293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1.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>Разрешительная деятельность и лицензирование</w:t>
      </w:r>
      <w:bookmarkStart w:id="0" w:name="_GoBack"/>
      <w:bookmarkEnd w:id="0"/>
    </w:p>
    <w:p w14:paraId="1859318A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Продление на 12 месяцев отдельных срочных разрешений, сроки действия которых истекают в 2023 году (например, лицензии на телевизионное вещание, ради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овещание, </w:t>
      </w:r>
      <w:r>
        <w:rPr>
          <w:rFonts w:ascii="xo thames" w:hAnsi="xo thames"/>
          <w:i/>
          <w:color w:val="000000" w:themeColor="text1"/>
          <w:sz w:val="24"/>
          <w:szCs w:val="24"/>
        </w:rPr>
        <w:lastRenderedPageBreak/>
        <w:t>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</w:p>
    <w:p w14:paraId="30CE3055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Право ведомств прини</w:t>
      </w:r>
      <w:r>
        <w:rPr>
          <w:rFonts w:ascii="xo thames" w:hAnsi="xo thames"/>
          <w:i/>
          <w:color w:val="000000" w:themeColor="text1"/>
          <w:sz w:val="24"/>
          <w:szCs w:val="24"/>
        </w:rPr>
        <w:t>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</w:t>
      </w:r>
      <w:r>
        <w:rPr>
          <w:rFonts w:ascii="xo thames" w:hAnsi="xo thames"/>
          <w:i/>
          <w:color w:val="000000" w:themeColor="text1"/>
          <w:sz w:val="24"/>
          <w:szCs w:val="24"/>
        </w:rPr>
        <w:t>ицензионных, и т. д.).</w:t>
      </w:r>
    </w:p>
    <w:p w14:paraId="7121055E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Не требуется переоформлять разрешения в случае переименования юр. лица, изменения наименования географического объекта.</w:t>
      </w:r>
    </w:p>
    <w:p w14:paraId="1AD7D4D9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- Не требуется оплата гос. пошлин в рамках лицензирования.</w:t>
      </w:r>
    </w:p>
    <w:p w14:paraId="650D394F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Некоторые особенности разрешительной деятельности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</w:t>
      </w:r>
      <w:r>
        <w:rPr>
          <w:rFonts w:ascii="xo thames" w:hAnsi="xo thames"/>
          <w:i/>
          <w:color w:val="000000" w:themeColor="text1"/>
          <w:sz w:val="24"/>
          <w:szCs w:val="24"/>
        </w:rPr>
        <w:t>и иные).</w:t>
      </w:r>
    </w:p>
    <w:p w14:paraId="475C798B" w14:textId="77777777" w:rsidR="003530C7" w:rsidRDefault="003530C7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0BBD9909" w14:textId="16D6CF8C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* более подробно можно посмотреть какие изменения были внесены постановлением Правительства РФ от 23.01.2023 N 63 "О внесении изменений в постановление Правительства Российской Федерации от 12 марта 2022 г. N 353 и признании утратившим силу отдел</w:t>
      </w:r>
      <w:r>
        <w:rPr>
          <w:rFonts w:ascii="xo thames" w:hAnsi="xo thames"/>
          <w:i/>
          <w:color w:val="000000" w:themeColor="text1"/>
          <w:sz w:val="24"/>
          <w:szCs w:val="24"/>
        </w:rPr>
        <w:t>ьного положения постановления Правительства Российской Федерации от 12 сентября 2022 г. N 1589"</w:t>
      </w:r>
    </w:p>
    <w:p w14:paraId="03A4AD70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2.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>Мораторий на проверки</w:t>
      </w:r>
    </w:p>
    <w:p w14:paraId="58EB15C8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</w:t>
      </w:r>
      <w:r>
        <w:rPr>
          <w:rFonts w:ascii="xo thames" w:hAnsi="xo thames"/>
          <w:i/>
          <w:color w:val="000000" w:themeColor="text1"/>
          <w:sz w:val="24"/>
          <w:szCs w:val="24"/>
        </w:rPr>
        <w:t>нят ряд изменений в постановление Правительства № 336.</w:t>
      </w:r>
    </w:p>
    <w:p w14:paraId="4DAF7BF6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14:paraId="60337231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При этом в отношении государственных и муниципальных школ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 </w:t>
      </w:r>
    </w:p>
    <w:p w14:paraId="07321BFF" w14:textId="49E4DCFD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Практически в полном объеме продлены на 2023 год ограничения на внеплановые проверки – подход измен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ился только в части проверок 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риска сопряжен с непосредственной угрозой жизни граждан.  </w:t>
      </w:r>
    </w:p>
    <w:p w14:paraId="2868C314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lastRenderedPageBreak/>
        <w:t>3. Упрощение оценки соответствия</w:t>
      </w:r>
    </w:p>
    <w:p w14:paraId="5610AE01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Продлена до 1 сентября 2023 г. возможность оформления «упрощенных» деклараций </w:t>
      </w:r>
      <w:r>
        <w:rPr>
          <w:rFonts w:ascii="xo thames" w:hAnsi="xo thames"/>
          <w:i/>
          <w:color w:val="000000" w:themeColor="text1"/>
          <w:sz w:val="24"/>
          <w:szCs w:val="24"/>
        </w:rPr>
        <w:br/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 соответствии продукции на основании доказательств ее безопасности, имеющихся у импортера, производителя, поставщика (п. 6 Приложения № 18 к постановлению Правительства Российской Федерации от 12 марта 2022 г. .№ 353). </w:t>
      </w:r>
    </w:p>
    <w:p w14:paraId="16642C23" w14:textId="6BFEB96A" w:rsidR="003530C7" w:rsidRPr="00D15CA5" w:rsidRDefault="00DE6B54">
      <w:pPr>
        <w:spacing w:before="240" w:after="240" w:line="240" w:lineRule="auto"/>
        <w:jc w:val="both"/>
        <w:rPr>
          <w:color w:val="000000" w:themeColor="text1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Продолжает действовать упрощенный п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орядок ввоза продукции 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</w:p>
    <w:p w14:paraId="1BFDFE74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4.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Аккредитация в национальной системе аккредитации </w:t>
      </w:r>
    </w:p>
    <w:p w14:paraId="7A176368" w14:textId="77777777" w:rsidR="003530C7" w:rsidRDefault="00DE6B54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</w:p>
    <w:p w14:paraId="6E4D809E" w14:textId="77777777" w:rsidR="003530C7" w:rsidRDefault="00DE6B54">
      <w:pPr>
        <w:pStyle w:val="af0"/>
        <w:spacing w:line="276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>Также лабораториям предоставляется в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 </w:t>
      </w:r>
    </w:p>
    <w:p w14:paraId="2E4C26B5" w14:textId="77777777" w:rsidR="003530C7" w:rsidRDefault="003530C7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</w:p>
    <w:p w14:paraId="3A75CA97" w14:textId="77777777" w:rsidR="003530C7" w:rsidRDefault="003530C7">
      <w:pPr>
        <w:rPr>
          <w:color w:val="000000" w:themeColor="text1"/>
          <w:sz w:val="24"/>
          <w:szCs w:val="24"/>
        </w:rPr>
      </w:pPr>
    </w:p>
    <w:sectPr w:rsidR="003530C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C38E" w14:textId="77777777" w:rsidR="00DE6B54" w:rsidRDefault="00DE6B54">
      <w:pPr>
        <w:spacing w:after="0" w:line="240" w:lineRule="auto"/>
      </w:pPr>
      <w:r>
        <w:separator/>
      </w:r>
    </w:p>
  </w:endnote>
  <w:endnote w:type="continuationSeparator" w:id="0">
    <w:p w14:paraId="31A26687" w14:textId="77777777" w:rsidR="00DE6B54" w:rsidRDefault="00DE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libri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 bl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628FE" w14:textId="77777777" w:rsidR="00DE6B54" w:rsidRDefault="00DE6B54">
      <w:pPr>
        <w:spacing w:after="0" w:line="240" w:lineRule="auto"/>
      </w:pPr>
      <w:r>
        <w:separator/>
      </w:r>
    </w:p>
  </w:footnote>
  <w:footnote w:type="continuationSeparator" w:id="0">
    <w:p w14:paraId="785A7C68" w14:textId="77777777" w:rsidR="00DE6B54" w:rsidRDefault="00DE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7"/>
    <w:rsid w:val="003530C7"/>
    <w:rsid w:val="00555A25"/>
    <w:rsid w:val="00890156"/>
    <w:rsid w:val="00D15CA5"/>
    <w:rsid w:val="00D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2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bottom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bottom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bottom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bottom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bottom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basedOn w:val="18"/>
    <w:link w:val="1b"/>
    <w:rPr>
      <w:color w:val="5F5F5F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5F5F5F" w:themeColor="hyperlink"/>
      <w:u w:val="single"/>
    </w:rPr>
  </w:style>
  <w:style w:type="paragraph" w:customStyle="1" w:styleId="1c">
    <w:name w:val="Выделение1"/>
    <w:basedOn w:val="18"/>
    <w:link w:val="1d"/>
    <w:rPr>
      <w:i/>
    </w:rPr>
  </w:style>
  <w:style w:type="character" w:customStyle="1" w:styleId="1d">
    <w:name w:val="Выделение1"/>
    <w:basedOn w:val="19"/>
    <w:link w:val="1c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bottom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bottom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bottom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bottom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bottom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basedOn w:val="18"/>
    <w:link w:val="1b"/>
    <w:rPr>
      <w:color w:val="5F5F5F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5F5F5F" w:themeColor="hyperlink"/>
      <w:u w:val="single"/>
    </w:rPr>
  </w:style>
  <w:style w:type="paragraph" w:customStyle="1" w:styleId="1c">
    <w:name w:val="Выделение1"/>
    <w:basedOn w:val="18"/>
    <w:link w:val="1d"/>
    <w:rPr>
      <w:i/>
    </w:rPr>
  </w:style>
  <w:style w:type="character" w:customStyle="1" w:styleId="1d">
    <w:name w:val="Выделение1"/>
    <w:basedOn w:val="19"/>
    <w:link w:val="1c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Екатерина Михайловна</dc:creator>
  <cp:lastModifiedBy>2019</cp:lastModifiedBy>
  <cp:revision>4</cp:revision>
  <dcterms:created xsi:type="dcterms:W3CDTF">2023-06-02T15:30:00Z</dcterms:created>
  <dcterms:modified xsi:type="dcterms:W3CDTF">2023-06-14T04:50:00Z</dcterms:modified>
</cp:coreProperties>
</file>